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2467" w14:textId="77777777" w:rsidR="009570E3" w:rsidRDefault="009570E3"/>
    <w:p w14:paraId="3ADD5963" w14:textId="77777777" w:rsidR="00DD173E" w:rsidRPr="004D671C" w:rsidRDefault="00DD173E" w:rsidP="00DD173E">
      <w:pPr>
        <w:rPr>
          <w:rFonts w:cstheme="minorHAnsi"/>
          <w:b/>
          <w:u w:val="single"/>
        </w:rPr>
      </w:pPr>
      <w:r w:rsidRPr="004D671C">
        <w:rPr>
          <w:rFonts w:cstheme="minorHAnsi"/>
          <w:b/>
          <w:u w:val="single"/>
        </w:rPr>
        <w:t>Furlough accounting</w:t>
      </w:r>
    </w:p>
    <w:p w14:paraId="58BB0062" w14:textId="530C1A7E" w:rsidR="00DD173E" w:rsidRDefault="00DD173E" w:rsidP="00DD173E">
      <w:pPr>
        <w:rPr>
          <w:rFonts w:cstheme="minorHAnsi"/>
        </w:rPr>
      </w:pPr>
      <w:r w:rsidRPr="00942C63">
        <w:rPr>
          <w:rFonts w:cstheme="minorHAnsi"/>
        </w:rPr>
        <w:t>Grants provided through the Coronavirus Job Retention Scheme are government grants and should be accounted for in accordance with Section 24 of FRS 102 and Section 17 of the SORP.</w:t>
      </w:r>
      <w:r>
        <w:rPr>
          <w:rFonts w:cstheme="minorHAnsi"/>
        </w:rPr>
        <w:t xml:space="preserve"> B</w:t>
      </w:r>
      <w:r w:rsidRPr="00CA5379">
        <w:rPr>
          <w:rFonts w:cstheme="minorHAnsi"/>
        </w:rPr>
        <w:t>efore government grants are recognised</w:t>
      </w:r>
      <w:r>
        <w:rPr>
          <w:rFonts w:cstheme="minorHAnsi"/>
        </w:rPr>
        <w:t>,</w:t>
      </w:r>
      <w:r w:rsidRPr="00CA5379">
        <w:rPr>
          <w:rFonts w:cstheme="minorHAnsi"/>
        </w:rPr>
        <w:t xml:space="preserve"> FRS 102 requires</w:t>
      </w:r>
      <w:r>
        <w:rPr>
          <w:rFonts w:cstheme="minorHAnsi"/>
        </w:rPr>
        <w:t xml:space="preserve"> there to be a</w:t>
      </w:r>
      <w:r w:rsidRPr="00CA5379">
        <w:rPr>
          <w:rFonts w:cstheme="minorHAnsi"/>
        </w:rPr>
        <w:t xml:space="preserve"> level of reasonable assurance </w:t>
      </w:r>
      <w:r>
        <w:rPr>
          <w:rFonts w:cstheme="minorHAnsi"/>
        </w:rPr>
        <w:t>that the entity will:</w:t>
      </w:r>
    </w:p>
    <w:p w14:paraId="190A8C24" w14:textId="77777777" w:rsidR="00DD173E" w:rsidRPr="00BD5D76" w:rsidRDefault="00DD173E" w:rsidP="00DD173E">
      <w:pPr>
        <w:pStyle w:val="ListParagraph"/>
        <w:numPr>
          <w:ilvl w:val="0"/>
          <w:numId w:val="4"/>
        </w:numPr>
        <w:rPr>
          <w:rFonts w:cstheme="minorHAnsi"/>
        </w:rPr>
      </w:pPr>
      <w:r w:rsidRPr="00707593">
        <w:rPr>
          <w:rFonts w:cstheme="minorHAnsi"/>
        </w:rPr>
        <w:t xml:space="preserve">comply the conditions attaching to </w:t>
      </w:r>
      <w:r>
        <w:rPr>
          <w:rFonts w:cstheme="minorHAnsi"/>
        </w:rPr>
        <w:t>the grant</w:t>
      </w:r>
      <w:r w:rsidRPr="00BD5D76">
        <w:rPr>
          <w:rFonts w:cstheme="minorHAnsi"/>
        </w:rPr>
        <w:t>; and</w:t>
      </w:r>
    </w:p>
    <w:p w14:paraId="44AF0111" w14:textId="3E2EFB03" w:rsidR="00DD173E" w:rsidRDefault="00DD173E" w:rsidP="00DD173E">
      <w:pPr>
        <w:pStyle w:val="ListParagraph"/>
        <w:numPr>
          <w:ilvl w:val="0"/>
          <w:numId w:val="4"/>
        </w:numPr>
        <w:rPr>
          <w:rFonts w:cstheme="minorHAnsi"/>
        </w:rPr>
      </w:pPr>
      <w:r w:rsidRPr="002835F2">
        <w:rPr>
          <w:rFonts w:cstheme="minorHAnsi"/>
        </w:rPr>
        <w:t xml:space="preserve">the grant will be received. </w:t>
      </w:r>
      <w:r w:rsidRPr="006538A3">
        <w:rPr>
          <w:rFonts w:cstheme="minorHAnsi"/>
        </w:rPr>
        <w:t>(FRS 102.24.3A).</w:t>
      </w:r>
    </w:p>
    <w:p w14:paraId="2B607AE2" w14:textId="67CB0B54" w:rsidR="00CC2DAC" w:rsidRDefault="00CC2DAC" w:rsidP="00CC2DAC">
      <w:pPr>
        <w:rPr>
          <w:rFonts w:cstheme="minorHAnsi"/>
        </w:rPr>
      </w:pPr>
      <w:r>
        <w:rPr>
          <w:rFonts w:cstheme="minorHAnsi"/>
        </w:rPr>
        <w:t>In the University, all claims have been reviewed centrally and are therefore believed to comply with conditions and due to be received.</w:t>
      </w:r>
    </w:p>
    <w:p w14:paraId="08C8C7AA" w14:textId="2BBF9E3C" w:rsidR="00DD173E" w:rsidRDefault="00DD173E" w:rsidP="00DD17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5379">
        <w:rPr>
          <w:rFonts w:asciiTheme="minorHAnsi" w:hAnsiTheme="minorHAnsi" w:cstheme="minorHAnsi"/>
          <w:sz w:val="22"/>
          <w:szCs w:val="22"/>
        </w:rPr>
        <w:t xml:space="preserve">FRS 102 </w:t>
      </w:r>
      <w:r w:rsidR="006F3126">
        <w:rPr>
          <w:rFonts w:asciiTheme="minorHAnsi" w:hAnsiTheme="minorHAnsi" w:cstheme="minorHAnsi"/>
          <w:sz w:val="22"/>
          <w:szCs w:val="22"/>
        </w:rPr>
        <w:t>and the</w:t>
      </w:r>
      <w:r>
        <w:rPr>
          <w:rFonts w:asciiTheme="minorHAnsi" w:hAnsiTheme="minorHAnsi" w:cstheme="minorHAnsi"/>
          <w:sz w:val="22"/>
          <w:szCs w:val="22"/>
        </w:rPr>
        <w:t xml:space="preserve"> SORP </w:t>
      </w:r>
      <w:r w:rsidRPr="00CA5379">
        <w:rPr>
          <w:rFonts w:asciiTheme="minorHAnsi" w:hAnsiTheme="minorHAnsi" w:cstheme="minorHAnsi"/>
          <w:sz w:val="22"/>
          <w:szCs w:val="22"/>
        </w:rPr>
        <w:t xml:space="preserve">provide two methods for recognising government grants – either the performance model or the accrual model. </w:t>
      </w:r>
      <w:r w:rsidR="001312BB">
        <w:rPr>
          <w:rFonts w:asciiTheme="minorHAnsi" w:hAnsiTheme="minorHAnsi" w:cstheme="minorHAnsi"/>
          <w:sz w:val="22"/>
          <w:szCs w:val="22"/>
        </w:rPr>
        <w:t>The University uses the performance model</w:t>
      </w:r>
      <w:r w:rsidRPr="003D296D">
        <w:rPr>
          <w:rFonts w:asciiTheme="minorHAnsi" w:hAnsiTheme="minorHAnsi" w:cstheme="minorHAnsi"/>
          <w:sz w:val="22"/>
          <w:szCs w:val="22"/>
        </w:rPr>
        <w:t>.</w:t>
      </w:r>
    </w:p>
    <w:p w14:paraId="19A07A1C" w14:textId="77777777" w:rsidR="00DD173E" w:rsidRPr="004607E5" w:rsidRDefault="00DD173E" w:rsidP="00DD17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2649D7" w14:textId="5B483A3A" w:rsidR="00DD173E" w:rsidRDefault="00DD173E" w:rsidP="00DD173E">
      <w:pPr>
        <w:pStyle w:val="Default"/>
        <w:rPr>
          <w:rFonts w:cstheme="minorHAnsi"/>
        </w:rPr>
      </w:pPr>
      <w:r w:rsidRPr="00ED6171">
        <w:rPr>
          <w:rFonts w:asciiTheme="minorHAnsi" w:hAnsiTheme="minorHAnsi" w:cstheme="minorHAnsi"/>
          <w:sz w:val="22"/>
          <w:szCs w:val="22"/>
        </w:rPr>
        <w:t>Under the performance model,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35F2">
        <w:rPr>
          <w:rFonts w:asciiTheme="minorHAnsi" w:hAnsiTheme="minorHAnsi" w:cstheme="minorHAnsi"/>
          <w:sz w:val="22"/>
          <w:szCs w:val="22"/>
        </w:rPr>
        <w:t>government grants are recognised as income</w:t>
      </w:r>
      <w:r w:rsidRPr="00ED6171">
        <w:rPr>
          <w:rFonts w:asciiTheme="minorHAnsi" w:hAnsiTheme="minorHAnsi" w:cstheme="minorHAnsi"/>
          <w:sz w:val="22"/>
          <w:szCs w:val="22"/>
        </w:rPr>
        <w:t xml:space="preserve"> whe</w:t>
      </w:r>
      <w:r>
        <w:rPr>
          <w:rFonts w:asciiTheme="minorHAnsi" w:hAnsiTheme="minorHAnsi" w:cstheme="minorHAnsi"/>
          <w:sz w:val="22"/>
          <w:szCs w:val="22"/>
        </w:rPr>
        <w:t>n the</w:t>
      </w:r>
      <w:r w:rsidRPr="00ED6171">
        <w:rPr>
          <w:rFonts w:asciiTheme="minorHAnsi" w:hAnsiTheme="minorHAnsi" w:cstheme="minorHAnsi"/>
          <w:sz w:val="22"/>
          <w:szCs w:val="22"/>
        </w:rPr>
        <w:t xml:space="preserve"> performance-related conditions</w:t>
      </w:r>
      <w:r>
        <w:rPr>
          <w:rFonts w:asciiTheme="minorHAnsi" w:hAnsiTheme="minorHAnsi" w:cstheme="minorHAnsi"/>
          <w:sz w:val="22"/>
          <w:szCs w:val="22"/>
        </w:rPr>
        <w:t xml:space="preserve"> are met</w:t>
      </w:r>
      <w:r w:rsidRPr="00ED6171">
        <w:rPr>
          <w:rFonts w:asciiTheme="minorHAnsi" w:hAnsiTheme="minorHAnsi" w:cstheme="minorHAnsi"/>
          <w:sz w:val="22"/>
          <w:szCs w:val="22"/>
        </w:rPr>
        <w:t>. It would be reasonable to treat the obligation to make payments to employees who are on furlough</w:t>
      </w:r>
      <w:r>
        <w:rPr>
          <w:rFonts w:asciiTheme="minorHAnsi" w:hAnsiTheme="minorHAnsi" w:cstheme="minorHAnsi"/>
          <w:sz w:val="22"/>
          <w:szCs w:val="22"/>
        </w:rPr>
        <w:t xml:space="preserve"> as </w:t>
      </w:r>
      <w:r w:rsidR="00F513FE">
        <w:rPr>
          <w:rFonts w:asciiTheme="minorHAnsi" w:hAnsiTheme="minorHAnsi" w:cstheme="minorHAnsi"/>
          <w:sz w:val="22"/>
          <w:szCs w:val="22"/>
        </w:rPr>
        <w:t xml:space="preserve">a </w:t>
      </w:r>
      <w:r w:rsidRPr="00ED6171">
        <w:rPr>
          <w:rFonts w:asciiTheme="minorHAnsi" w:hAnsiTheme="minorHAnsi" w:cstheme="minorHAnsi"/>
          <w:sz w:val="22"/>
          <w:szCs w:val="22"/>
        </w:rPr>
        <w:t xml:space="preserve">performance-related condition. </w:t>
      </w:r>
      <w:r w:rsidRPr="002835F2">
        <w:rPr>
          <w:rFonts w:asciiTheme="minorHAnsi" w:hAnsiTheme="minorHAnsi" w:cstheme="minorHAnsi"/>
          <w:sz w:val="22"/>
          <w:szCs w:val="22"/>
        </w:rPr>
        <w:t xml:space="preserve">Therefore, the income should be recognised as these costs are incurred. </w:t>
      </w:r>
      <w:r w:rsidRPr="00ED6171">
        <w:rPr>
          <w:rFonts w:asciiTheme="minorHAnsi" w:hAnsiTheme="minorHAnsi" w:cstheme="minorHAnsi"/>
          <w:sz w:val="22"/>
          <w:szCs w:val="22"/>
        </w:rPr>
        <w:t xml:space="preserve">This </w:t>
      </w:r>
      <w:r w:rsidR="00F513FE">
        <w:rPr>
          <w:rFonts w:asciiTheme="minorHAnsi" w:hAnsiTheme="minorHAnsi" w:cstheme="minorHAnsi"/>
          <w:sz w:val="22"/>
          <w:szCs w:val="22"/>
        </w:rPr>
        <w:t>will</w:t>
      </w:r>
      <w:r w:rsidRPr="00ED6171">
        <w:rPr>
          <w:rFonts w:asciiTheme="minorHAnsi" w:hAnsiTheme="minorHAnsi" w:cstheme="minorHAnsi"/>
          <w:sz w:val="22"/>
          <w:szCs w:val="22"/>
        </w:rPr>
        <w:t xml:space="preserve"> result in the same accounting treatment as under the accruals method. </w:t>
      </w:r>
    </w:p>
    <w:p w14:paraId="07EBA3E9" w14:textId="77777777" w:rsidR="00DD173E" w:rsidRPr="00942C63" w:rsidRDefault="00DD173E" w:rsidP="00DD173E">
      <w:pPr>
        <w:pStyle w:val="Default"/>
        <w:rPr>
          <w:rFonts w:cstheme="minorHAnsi"/>
        </w:rPr>
      </w:pPr>
    </w:p>
    <w:p w14:paraId="2DFBCEE6" w14:textId="77777777" w:rsidR="00315724" w:rsidRDefault="00DD173E" w:rsidP="00DD173E">
      <w:pPr>
        <w:rPr>
          <w:rFonts w:cstheme="minorHAnsi"/>
        </w:rPr>
      </w:pPr>
      <w:r>
        <w:rPr>
          <w:rFonts w:cstheme="minorHAnsi"/>
        </w:rPr>
        <w:t xml:space="preserve">The income should be recognised within </w:t>
      </w:r>
      <w:r w:rsidRPr="00012024">
        <w:rPr>
          <w:rFonts w:cstheme="minorHAnsi"/>
        </w:rPr>
        <w:t xml:space="preserve">the Statement of Comprehensive </w:t>
      </w:r>
      <w:r>
        <w:rPr>
          <w:rFonts w:cstheme="minorHAnsi"/>
        </w:rPr>
        <w:t>Income</w:t>
      </w:r>
      <w:r w:rsidR="00860F1D">
        <w:rPr>
          <w:rFonts w:cstheme="minorHAnsi"/>
        </w:rPr>
        <w:t xml:space="preserve"> </w:t>
      </w:r>
      <w:r w:rsidR="006F6A66">
        <w:rPr>
          <w:rFonts w:cstheme="minorHAnsi"/>
        </w:rPr>
        <w:t xml:space="preserve">and Expenditure (SOCIE) </w:t>
      </w:r>
      <w:r w:rsidR="00860F1D">
        <w:rPr>
          <w:rFonts w:cstheme="minorHAnsi"/>
        </w:rPr>
        <w:t xml:space="preserve">as </w:t>
      </w:r>
      <w:r w:rsidR="00F513FE">
        <w:rPr>
          <w:rFonts w:cstheme="minorHAnsi"/>
        </w:rPr>
        <w:t>O</w:t>
      </w:r>
      <w:r w:rsidR="00860F1D">
        <w:rPr>
          <w:rFonts w:cstheme="minorHAnsi"/>
        </w:rPr>
        <w:t>ther income</w:t>
      </w:r>
      <w:r>
        <w:rPr>
          <w:rFonts w:cstheme="minorHAnsi"/>
        </w:rPr>
        <w:t xml:space="preserve">. </w:t>
      </w:r>
      <w:r w:rsidR="001312BB">
        <w:rPr>
          <w:rFonts w:cstheme="minorHAnsi"/>
        </w:rPr>
        <w:t xml:space="preserve">In the University it will be posted to 47310. </w:t>
      </w:r>
    </w:p>
    <w:p w14:paraId="75FBDD36" w14:textId="47772472" w:rsidR="00DD173E" w:rsidRDefault="00315724" w:rsidP="00DD173E">
      <w:pPr>
        <w:rPr>
          <w:rFonts w:cstheme="minorHAnsi"/>
        </w:rPr>
      </w:pPr>
      <w:r>
        <w:rPr>
          <w:rFonts w:cstheme="minorHAnsi"/>
        </w:rPr>
        <w:t>As</w:t>
      </w:r>
      <w:r w:rsidR="00DD173E">
        <w:rPr>
          <w:rFonts w:cstheme="minorHAnsi"/>
        </w:rPr>
        <w:t xml:space="preserve"> the grant is material </w:t>
      </w:r>
      <w:r>
        <w:rPr>
          <w:rFonts w:cstheme="minorHAnsi"/>
        </w:rPr>
        <w:t xml:space="preserve">the total will </w:t>
      </w:r>
      <w:r w:rsidR="00DD173E" w:rsidRPr="002835F2">
        <w:rPr>
          <w:rFonts w:cstheme="minorHAnsi"/>
        </w:rPr>
        <w:t>be disclosed separately in line with paragraphs 3.8 to 3.13 of the SORP.</w:t>
      </w:r>
      <w:r w:rsidR="00DD173E">
        <w:rPr>
          <w:rFonts w:cstheme="minorHAnsi"/>
        </w:rPr>
        <w:t xml:space="preserve"> Paragraph 2.52 of FRS 102 does not allow income and expenses to be offset. Therefore, the grant cannot be netted off against staff costs</w:t>
      </w:r>
      <w:r w:rsidR="00F513FE">
        <w:rPr>
          <w:rFonts w:cstheme="minorHAnsi"/>
        </w:rPr>
        <w:t xml:space="preserve"> in the financial statements</w:t>
      </w:r>
      <w:r w:rsidR="00DD173E">
        <w:rPr>
          <w:rFonts w:cstheme="minorHAnsi"/>
        </w:rPr>
        <w:t>, irrespective of its presentation for funder reporting.</w:t>
      </w:r>
    </w:p>
    <w:p w14:paraId="5A6249F7" w14:textId="688C923F" w:rsidR="00DD173E" w:rsidRPr="002835F2" w:rsidRDefault="00DD173E" w:rsidP="00DD173E">
      <w:pPr>
        <w:rPr>
          <w:rFonts w:cstheme="minorHAnsi"/>
        </w:rPr>
      </w:pPr>
      <w:r>
        <w:rPr>
          <w:rFonts w:cstheme="minorHAnsi"/>
        </w:rPr>
        <w:t>Where a</w:t>
      </w:r>
      <w:r w:rsidRPr="002835F2">
        <w:rPr>
          <w:rFonts w:cstheme="minorHAnsi"/>
        </w:rPr>
        <w:t xml:space="preserve"> furlough claim has not been paid </w:t>
      </w:r>
      <w:r>
        <w:rPr>
          <w:rFonts w:cstheme="minorHAnsi"/>
        </w:rPr>
        <w:t xml:space="preserve">by HMRC </w:t>
      </w:r>
      <w:r w:rsidRPr="002835F2">
        <w:rPr>
          <w:rFonts w:cstheme="minorHAnsi"/>
        </w:rPr>
        <w:t>at year end</w:t>
      </w:r>
      <w:r>
        <w:rPr>
          <w:rFonts w:cstheme="minorHAnsi"/>
        </w:rPr>
        <w:t>,</w:t>
      </w:r>
      <w:r w:rsidRPr="002835F2">
        <w:rPr>
          <w:rFonts w:cstheme="minorHAnsi"/>
        </w:rPr>
        <w:t xml:space="preserve"> then </w:t>
      </w:r>
      <w:r>
        <w:rPr>
          <w:rFonts w:cstheme="minorHAnsi"/>
        </w:rPr>
        <w:t xml:space="preserve">the income may still be recognised </w:t>
      </w:r>
      <w:r w:rsidRPr="002835F2">
        <w:rPr>
          <w:rFonts w:cstheme="minorHAnsi"/>
        </w:rPr>
        <w:t xml:space="preserve">as long </w:t>
      </w:r>
      <w:r w:rsidR="00F513FE">
        <w:rPr>
          <w:rFonts w:cstheme="minorHAnsi"/>
        </w:rPr>
        <w:t>there is</w:t>
      </w:r>
      <w:r>
        <w:rPr>
          <w:rFonts w:cstheme="minorHAnsi"/>
        </w:rPr>
        <w:t xml:space="preserve"> </w:t>
      </w:r>
      <w:r w:rsidRPr="00FF6201">
        <w:rPr>
          <w:rFonts w:cstheme="minorHAnsi"/>
        </w:rPr>
        <w:t xml:space="preserve">reasonable assurance that the grant </w:t>
      </w:r>
      <w:r>
        <w:rPr>
          <w:rFonts w:cstheme="minorHAnsi"/>
        </w:rPr>
        <w:t>will</w:t>
      </w:r>
      <w:r w:rsidRPr="00FF6201">
        <w:rPr>
          <w:rFonts w:cstheme="minorHAnsi"/>
        </w:rPr>
        <w:t xml:space="preserve"> be received and </w:t>
      </w:r>
      <w:r w:rsidR="00F513FE">
        <w:rPr>
          <w:rFonts w:cstheme="minorHAnsi"/>
        </w:rPr>
        <w:t>is in compliance</w:t>
      </w:r>
      <w:r w:rsidRPr="00FF6201">
        <w:rPr>
          <w:rFonts w:cstheme="minorHAnsi"/>
        </w:rPr>
        <w:t xml:space="preserve"> with the</w:t>
      </w:r>
      <w:r>
        <w:rPr>
          <w:rFonts w:cstheme="minorHAnsi"/>
        </w:rPr>
        <w:t xml:space="preserve"> </w:t>
      </w:r>
      <w:r w:rsidRPr="00FF6201">
        <w:rPr>
          <w:rFonts w:cstheme="minorHAnsi"/>
        </w:rPr>
        <w:t>relevant conditions to make the claim</w:t>
      </w:r>
      <w:r w:rsidRPr="002835F2">
        <w:rPr>
          <w:rFonts w:cstheme="minorHAnsi"/>
        </w:rPr>
        <w:t xml:space="preserve"> </w:t>
      </w:r>
      <w:r>
        <w:rPr>
          <w:rFonts w:cstheme="minorHAnsi"/>
        </w:rPr>
        <w:t xml:space="preserve">(i.e. it has been </w:t>
      </w:r>
      <w:r w:rsidRPr="002835F2">
        <w:rPr>
          <w:rFonts w:cstheme="minorHAnsi"/>
        </w:rPr>
        <w:t>prepar</w:t>
      </w:r>
      <w:r>
        <w:rPr>
          <w:rFonts w:cstheme="minorHAnsi"/>
        </w:rPr>
        <w:t>ed</w:t>
      </w:r>
      <w:r w:rsidRPr="002835F2">
        <w:rPr>
          <w:rFonts w:cstheme="minorHAnsi"/>
        </w:rPr>
        <w:t xml:space="preserve"> in line with HMRC guidance</w:t>
      </w:r>
      <w:r>
        <w:rPr>
          <w:rFonts w:cstheme="minorHAnsi"/>
        </w:rPr>
        <w:t>)</w:t>
      </w:r>
      <w:r w:rsidRPr="002835F2">
        <w:rPr>
          <w:rFonts w:cstheme="minorHAnsi"/>
        </w:rPr>
        <w:t>.</w:t>
      </w:r>
    </w:p>
    <w:p w14:paraId="07BC718F" w14:textId="77777777" w:rsidR="00DD173E" w:rsidRPr="006F6A66" w:rsidRDefault="00DD173E" w:rsidP="00DD173E">
      <w:pPr>
        <w:rPr>
          <w:rFonts w:cstheme="minorHAnsi"/>
          <w:i/>
          <w:u w:val="single"/>
        </w:rPr>
      </w:pPr>
      <w:r w:rsidRPr="006F6A66">
        <w:rPr>
          <w:rFonts w:cstheme="minorHAnsi"/>
          <w:i/>
          <w:u w:val="single"/>
        </w:rPr>
        <w:t>Operational issue</w:t>
      </w:r>
    </w:p>
    <w:p w14:paraId="03627AB1" w14:textId="49C6BDC8" w:rsidR="00AF66BC" w:rsidRDefault="00DD173E">
      <w:pPr>
        <w:rPr>
          <w:rFonts w:cstheme="minorHAnsi"/>
        </w:rPr>
      </w:pPr>
      <w:r>
        <w:rPr>
          <w:rFonts w:cstheme="minorHAnsi"/>
        </w:rPr>
        <w:t xml:space="preserve">If research staff are furloughed and a </w:t>
      </w:r>
      <w:r w:rsidR="001312BB">
        <w:rPr>
          <w:rFonts w:cstheme="minorHAnsi"/>
        </w:rPr>
        <w:t>department</w:t>
      </w:r>
      <w:r w:rsidR="004F2E3F">
        <w:rPr>
          <w:rFonts w:cstheme="minorHAnsi"/>
        </w:rPr>
        <w:t xml:space="preserve"> wants</w:t>
      </w:r>
      <w:r>
        <w:rPr>
          <w:rFonts w:cstheme="minorHAnsi"/>
        </w:rPr>
        <w:t xml:space="preserve"> or needs to offset these costs by reducing the salary costs for funder </w:t>
      </w:r>
      <w:proofErr w:type="gramStart"/>
      <w:r>
        <w:rPr>
          <w:rFonts w:cstheme="minorHAnsi"/>
        </w:rPr>
        <w:t>reporting</w:t>
      </w:r>
      <w:proofErr w:type="gramEnd"/>
      <w:r>
        <w:rPr>
          <w:rFonts w:cstheme="minorHAnsi"/>
        </w:rPr>
        <w:t xml:space="preserve"> then an operational issue may arise. This </w:t>
      </w:r>
      <w:r w:rsidR="00F513FE">
        <w:rPr>
          <w:rFonts w:cstheme="minorHAnsi"/>
        </w:rPr>
        <w:t>can</w:t>
      </w:r>
      <w:r>
        <w:rPr>
          <w:rFonts w:cstheme="minorHAnsi"/>
        </w:rPr>
        <w:t xml:space="preserve"> be </w:t>
      </w:r>
      <w:r w:rsidR="003B2E86">
        <w:rPr>
          <w:rFonts w:cstheme="minorHAnsi"/>
        </w:rPr>
        <w:t>adjusted</w:t>
      </w:r>
      <w:r>
        <w:rPr>
          <w:rFonts w:cstheme="minorHAnsi"/>
        </w:rPr>
        <w:t xml:space="preserve"> for management accounting and funder claims. Any such adjustment should be removed for financial reporting to show the furlough claims as </w:t>
      </w:r>
      <w:r w:rsidR="00F513FE">
        <w:rPr>
          <w:rFonts w:cstheme="minorHAnsi"/>
        </w:rPr>
        <w:t>Other Income</w:t>
      </w:r>
      <w:r>
        <w:rPr>
          <w:rFonts w:cstheme="minorHAnsi"/>
        </w:rPr>
        <w:t>.</w:t>
      </w:r>
    </w:p>
    <w:p w14:paraId="43F02473" w14:textId="6EB3263E" w:rsidR="00771F7A" w:rsidRDefault="00771F7A" w:rsidP="002424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44FE0B" w14:textId="77777777" w:rsidR="000A1F16" w:rsidRDefault="000A1F1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288D449A" w14:textId="77777777" w:rsidR="00066746" w:rsidRDefault="00066746" w:rsidP="002424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8F5563" w14:textId="7D12781E" w:rsidR="00CC71CB" w:rsidRDefault="00483FC0" w:rsidP="001312BB">
      <w:pPr>
        <w:autoSpaceDE w:val="0"/>
        <w:autoSpaceDN w:val="0"/>
        <w:adjustRightInd w:val="0"/>
        <w:spacing w:after="0" w:line="240" w:lineRule="auto"/>
        <w:ind w:left="21" w:hanging="426"/>
        <w:rPr>
          <w:rFonts w:ascii="Calibri" w:hAnsi="Calibri" w:cs="Calibri"/>
          <w:color w:val="000000"/>
        </w:rPr>
      </w:pPr>
      <w:r>
        <w:rPr>
          <w:rFonts w:cstheme="minorHAnsi"/>
        </w:rPr>
        <w:tab/>
      </w:r>
    </w:p>
    <w:p w14:paraId="3A5355C9" w14:textId="77777777" w:rsidR="00166653" w:rsidRDefault="00166653">
      <w:pPr>
        <w:rPr>
          <w:rFonts w:cstheme="minorHAnsi"/>
          <w:b/>
          <w:u w:val="single"/>
        </w:rPr>
      </w:pPr>
    </w:p>
    <w:p w14:paraId="2A0EE01E" w14:textId="77777777" w:rsidR="00166653" w:rsidRDefault="00166653">
      <w:pPr>
        <w:rPr>
          <w:rFonts w:cstheme="minorHAnsi"/>
          <w:b/>
          <w:u w:val="single"/>
        </w:rPr>
      </w:pPr>
    </w:p>
    <w:p w14:paraId="17B8A3D6" w14:textId="77777777" w:rsidR="00166653" w:rsidRDefault="00166653">
      <w:pPr>
        <w:rPr>
          <w:rFonts w:cstheme="minorHAnsi"/>
          <w:b/>
          <w:u w:val="single"/>
        </w:rPr>
      </w:pPr>
    </w:p>
    <w:p w14:paraId="2172006B" w14:textId="77777777" w:rsidR="00166653" w:rsidRDefault="00166653">
      <w:pPr>
        <w:rPr>
          <w:rFonts w:cstheme="minorHAnsi"/>
          <w:b/>
          <w:u w:val="single"/>
        </w:rPr>
      </w:pPr>
    </w:p>
    <w:p w14:paraId="2D86BAC6" w14:textId="77777777" w:rsidR="00166653" w:rsidRDefault="00166653">
      <w:pPr>
        <w:rPr>
          <w:rFonts w:cstheme="minorHAnsi"/>
          <w:b/>
          <w:u w:val="single"/>
        </w:rPr>
      </w:pPr>
    </w:p>
    <w:p w14:paraId="24B816B9" w14:textId="77777777" w:rsidR="00166653" w:rsidRDefault="00166653">
      <w:pPr>
        <w:rPr>
          <w:rFonts w:cstheme="minorHAnsi"/>
          <w:b/>
          <w:u w:val="single"/>
        </w:rPr>
      </w:pPr>
    </w:p>
    <w:p w14:paraId="454C740C" w14:textId="77777777" w:rsidR="00166653" w:rsidRDefault="00166653">
      <w:pPr>
        <w:rPr>
          <w:rFonts w:cstheme="minorHAnsi"/>
          <w:b/>
          <w:u w:val="single"/>
        </w:rPr>
      </w:pPr>
    </w:p>
    <w:p w14:paraId="210CDD15" w14:textId="77777777" w:rsidR="00166653" w:rsidRDefault="00166653">
      <w:pPr>
        <w:rPr>
          <w:rFonts w:cstheme="minorHAnsi"/>
          <w:b/>
          <w:u w:val="single"/>
        </w:rPr>
      </w:pPr>
    </w:p>
    <w:p w14:paraId="058A379D" w14:textId="77777777" w:rsidR="00166653" w:rsidRDefault="00166653">
      <w:pPr>
        <w:rPr>
          <w:rFonts w:cstheme="minorHAnsi"/>
          <w:b/>
          <w:u w:val="single"/>
        </w:rPr>
      </w:pPr>
    </w:p>
    <w:p w14:paraId="2284325E" w14:textId="77777777" w:rsidR="00166653" w:rsidRDefault="00166653">
      <w:pPr>
        <w:rPr>
          <w:rFonts w:cstheme="minorHAnsi"/>
          <w:b/>
          <w:u w:val="single"/>
        </w:rPr>
      </w:pPr>
    </w:p>
    <w:p w14:paraId="448CF9B2" w14:textId="77777777" w:rsidR="00166653" w:rsidRDefault="00166653">
      <w:pPr>
        <w:rPr>
          <w:rFonts w:cstheme="minorHAnsi"/>
          <w:b/>
          <w:u w:val="single"/>
        </w:rPr>
      </w:pPr>
    </w:p>
    <w:sectPr w:rsidR="001666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0BA94" w14:textId="77777777" w:rsidR="00F272AE" w:rsidRDefault="00F272AE" w:rsidP="00F513FE">
      <w:pPr>
        <w:spacing w:after="0" w:line="240" w:lineRule="auto"/>
      </w:pPr>
      <w:r>
        <w:separator/>
      </w:r>
    </w:p>
  </w:endnote>
  <w:endnote w:type="continuationSeparator" w:id="0">
    <w:p w14:paraId="2F2EAC5D" w14:textId="77777777" w:rsidR="00F272AE" w:rsidRDefault="00F272AE" w:rsidP="00F5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764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346CE" w14:textId="5424DF32" w:rsidR="00F513FE" w:rsidRDefault="00F51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D865EF" w14:textId="77777777" w:rsidR="00F513FE" w:rsidRDefault="00F51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6F7F2" w14:textId="77777777" w:rsidR="00F272AE" w:rsidRDefault="00F272AE" w:rsidP="00F513FE">
      <w:pPr>
        <w:spacing w:after="0" w:line="240" w:lineRule="auto"/>
      </w:pPr>
      <w:r>
        <w:separator/>
      </w:r>
    </w:p>
  </w:footnote>
  <w:footnote w:type="continuationSeparator" w:id="0">
    <w:p w14:paraId="63B99005" w14:textId="77777777" w:rsidR="00F272AE" w:rsidRDefault="00F272AE" w:rsidP="00F5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0B8A"/>
    <w:multiLevelType w:val="hybridMultilevel"/>
    <w:tmpl w:val="CF0C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72D06"/>
    <w:multiLevelType w:val="hybridMultilevel"/>
    <w:tmpl w:val="FF6A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369"/>
    <w:multiLevelType w:val="hybridMultilevel"/>
    <w:tmpl w:val="9618BCD6"/>
    <w:lvl w:ilvl="0" w:tplc="9B78F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263D4"/>
    <w:multiLevelType w:val="hybridMultilevel"/>
    <w:tmpl w:val="F2E83528"/>
    <w:lvl w:ilvl="0" w:tplc="9B78F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438F"/>
    <w:multiLevelType w:val="hybridMultilevel"/>
    <w:tmpl w:val="BBCC0A1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42861D9"/>
    <w:multiLevelType w:val="hybridMultilevel"/>
    <w:tmpl w:val="97BC8084"/>
    <w:lvl w:ilvl="0" w:tplc="03BCBC6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8651738"/>
    <w:multiLevelType w:val="hybridMultilevel"/>
    <w:tmpl w:val="0B5E9A6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E2"/>
    <w:rsid w:val="00041110"/>
    <w:rsid w:val="00066746"/>
    <w:rsid w:val="0009439F"/>
    <w:rsid w:val="00096091"/>
    <w:rsid w:val="000A0FD3"/>
    <w:rsid w:val="000A1F16"/>
    <w:rsid w:val="000B2232"/>
    <w:rsid w:val="000C4607"/>
    <w:rsid w:val="000C6562"/>
    <w:rsid w:val="000D0D4D"/>
    <w:rsid w:val="001066C1"/>
    <w:rsid w:val="001312BB"/>
    <w:rsid w:val="00166653"/>
    <w:rsid w:val="00194BFA"/>
    <w:rsid w:val="00217705"/>
    <w:rsid w:val="002424FF"/>
    <w:rsid w:val="002835F2"/>
    <w:rsid w:val="00283FE4"/>
    <w:rsid w:val="002B5546"/>
    <w:rsid w:val="00315724"/>
    <w:rsid w:val="00334C51"/>
    <w:rsid w:val="00376C03"/>
    <w:rsid w:val="003B2E86"/>
    <w:rsid w:val="003D296D"/>
    <w:rsid w:val="00424673"/>
    <w:rsid w:val="00446F9B"/>
    <w:rsid w:val="004551A5"/>
    <w:rsid w:val="004607E5"/>
    <w:rsid w:val="00483FC0"/>
    <w:rsid w:val="004A4DED"/>
    <w:rsid w:val="004D671C"/>
    <w:rsid w:val="004F2E3F"/>
    <w:rsid w:val="00511808"/>
    <w:rsid w:val="00531756"/>
    <w:rsid w:val="00551771"/>
    <w:rsid w:val="005F067D"/>
    <w:rsid w:val="005F47B4"/>
    <w:rsid w:val="00617B5D"/>
    <w:rsid w:val="006224C6"/>
    <w:rsid w:val="006240D4"/>
    <w:rsid w:val="00632FAF"/>
    <w:rsid w:val="00652E91"/>
    <w:rsid w:val="006538A3"/>
    <w:rsid w:val="006C0ED2"/>
    <w:rsid w:val="006D7586"/>
    <w:rsid w:val="006F3126"/>
    <w:rsid w:val="006F6A66"/>
    <w:rsid w:val="0071185E"/>
    <w:rsid w:val="00714F8D"/>
    <w:rsid w:val="00771F7A"/>
    <w:rsid w:val="00777866"/>
    <w:rsid w:val="007B2442"/>
    <w:rsid w:val="007E437E"/>
    <w:rsid w:val="00860F1D"/>
    <w:rsid w:val="008913F6"/>
    <w:rsid w:val="008B631A"/>
    <w:rsid w:val="008C7788"/>
    <w:rsid w:val="009204EA"/>
    <w:rsid w:val="00923B1C"/>
    <w:rsid w:val="00942C63"/>
    <w:rsid w:val="009570E3"/>
    <w:rsid w:val="009B4DB7"/>
    <w:rsid w:val="009E4AC5"/>
    <w:rsid w:val="009F1E5F"/>
    <w:rsid w:val="00A00857"/>
    <w:rsid w:val="00A0341D"/>
    <w:rsid w:val="00A308AA"/>
    <w:rsid w:val="00A53FEA"/>
    <w:rsid w:val="00A6175C"/>
    <w:rsid w:val="00A96653"/>
    <w:rsid w:val="00AB611B"/>
    <w:rsid w:val="00AC0935"/>
    <w:rsid w:val="00AF300E"/>
    <w:rsid w:val="00AF66BC"/>
    <w:rsid w:val="00B04E6D"/>
    <w:rsid w:val="00B12BE8"/>
    <w:rsid w:val="00B12CAB"/>
    <w:rsid w:val="00B221A8"/>
    <w:rsid w:val="00B8304E"/>
    <w:rsid w:val="00BE0C23"/>
    <w:rsid w:val="00C23CB4"/>
    <w:rsid w:val="00C71C7B"/>
    <w:rsid w:val="00C77BEF"/>
    <w:rsid w:val="00C8406D"/>
    <w:rsid w:val="00CA5379"/>
    <w:rsid w:val="00CC2DAC"/>
    <w:rsid w:val="00CC5590"/>
    <w:rsid w:val="00CC71CB"/>
    <w:rsid w:val="00CD484C"/>
    <w:rsid w:val="00CE289D"/>
    <w:rsid w:val="00CF452A"/>
    <w:rsid w:val="00CF7716"/>
    <w:rsid w:val="00D2187E"/>
    <w:rsid w:val="00D238F9"/>
    <w:rsid w:val="00D24C29"/>
    <w:rsid w:val="00D51BD2"/>
    <w:rsid w:val="00D62B92"/>
    <w:rsid w:val="00D6513D"/>
    <w:rsid w:val="00D73928"/>
    <w:rsid w:val="00DA0CD2"/>
    <w:rsid w:val="00DD173E"/>
    <w:rsid w:val="00DE47AC"/>
    <w:rsid w:val="00E234DF"/>
    <w:rsid w:val="00E87D5B"/>
    <w:rsid w:val="00E97B50"/>
    <w:rsid w:val="00EB75BB"/>
    <w:rsid w:val="00EE4C30"/>
    <w:rsid w:val="00F00102"/>
    <w:rsid w:val="00F016ED"/>
    <w:rsid w:val="00F11058"/>
    <w:rsid w:val="00F16486"/>
    <w:rsid w:val="00F2696D"/>
    <w:rsid w:val="00F272AE"/>
    <w:rsid w:val="00F513FE"/>
    <w:rsid w:val="00F5342F"/>
    <w:rsid w:val="00F56F4C"/>
    <w:rsid w:val="00F80280"/>
    <w:rsid w:val="00F871E2"/>
    <w:rsid w:val="00F94835"/>
    <w:rsid w:val="00FC4B10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4330"/>
  <w15:chartTrackingRefBased/>
  <w15:docId w15:val="{7FF5B5AA-E997-428C-9C55-82564FA7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A537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C4B10"/>
    <w:rPr>
      <w:b/>
      <w:bCs/>
    </w:rPr>
  </w:style>
  <w:style w:type="paragraph" w:styleId="ListParagraph">
    <w:name w:val="List Paragraph"/>
    <w:basedOn w:val="Normal"/>
    <w:uiPriority w:val="34"/>
    <w:qFormat/>
    <w:rsid w:val="00FC4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D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1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FE"/>
  </w:style>
  <w:style w:type="paragraph" w:styleId="Footer">
    <w:name w:val="footer"/>
    <w:basedOn w:val="Normal"/>
    <w:link w:val="FooterChar"/>
    <w:uiPriority w:val="99"/>
    <w:unhideWhenUsed/>
    <w:rsid w:val="00F51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FE"/>
  </w:style>
  <w:style w:type="paragraph" w:customStyle="1" w:styleId="xmsonormal">
    <w:name w:val="xmsonormal"/>
    <w:basedOn w:val="Normal"/>
    <w:rsid w:val="00652E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normaltextrun">
    <w:name w:val="xxnormaltextrun"/>
    <w:basedOn w:val="DefaultParagraphFont"/>
    <w:rsid w:val="00652E91"/>
  </w:style>
  <w:style w:type="character" w:customStyle="1" w:styleId="xnormaltextrun">
    <w:name w:val="xnormaltextrun"/>
    <w:basedOn w:val="DefaultParagraphFont"/>
    <w:rsid w:val="00652E91"/>
  </w:style>
  <w:style w:type="character" w:customStyle="1" w:styleId="xxeop">
    <w:name w:val="xxeop"/>
    <w:basedOn w:val="DefaultParagraphFont"/>
    <w:rsid w:val="0065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9DBD-6D61-4C7D-9809-B5FBC5C8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Heath</dc:creator>
  <cp:keywords/>
  <dc:description/>
  <cp:lastModifiedBy>Alan Glaum</cp:lastModifiedBy>
  <cp:revision>3</cp:revision>
  <cp:lastPrinted>2020-06-07T11:33:00Z</cp:lastPrinted>
  <dcterms:created xsi:type="dcterms:W3CDTF">2020-07-15T15:29:00Z</dcterms:created>
  <dcterms:modified xsi:type="dcterms:W3CDTF">2020-07-15T15:33:00Z</dcterms:modified>
</cp:coreProperties>
</file>