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34" w:rsidRDefault="00033792" w:rsidP="00BB5116">
      <w:pPr>
        <w:jc w:val="center"/>
        <w:rPr>
          <w:sz w:val="36"/>
          <w:szCs w:val="36"/>
        </w:rPr>
      </w:pPr>
      <w:r>
        <w:rPr>
          <w:sz w:val="36"/>
          <w:szCs w:val="36"/>
        </w:rPr>
        <w:t>Monthly Accruals Accounting</w:t>
      </w:r>
    </w:p>
    <w:p w:rsidR="00635205" w:rsidRPr="00564913" w:rsidRDefault="00635205" w:rsidP="00BB5116">
      <w:pPr>
        <w:jc w:val="both"/>
        <w:rPr>
          <w:b/>
          <w:sz w:val="28"/>
          <w:szCs w:val="28"/>
        </w:rPr>
      </w:pPr>
      <w:r w:rsidRPr="00564913">
        <w:rPr>
          <w:b/>
          <w:sz w:val="28"/>
          <w:szCs w:val="28"/>
        </w:rPr>
        <w:t>Intro</w:t>
      </w:r>
      <w:r w:rsidR="00270B60" w:rsidRPr="00564913">
        <w:rPr>
          <w:b/>
          <w:sz w:val="28"/>
          <w:szCs w:val="28"/>
        </w:rPr>
        <w:t>duction</w:t>
      </w:r>
    </w:p>
    <w:p w:rsidR="00635205" w:rsidRPr="00EA1A28" w:rsidRDefault="00033792" w:rsidP="00BB5116">
      <w:pPr>
        <w:jc w:val="both"/>
      </w:pPr>
      <w:r>
        <w:t xml:space="preserve">The </w:t>
      </w:r>
      <w:r w:rsidR="00BB5116">
        <w:t xml:space="preserve">Finance Division encourages </w:t>
      </w:r>
      <w:r>
        <w:t>department</w:t>
      </w:r>
      <w:r w:rsidR="0094587C">
        <w:t>al</w:t>
      </w:r>
      <w:r w:rsidR="00270B60" w:rsidRPr="00EA1A28">
        <w:t xml:space="preserve"> posting </w:t>
      </w:r>
      <w:r>
        <w:t xml:space="preserve">of </w:t>
      </w:r>
      <w:r w:rsidR="00270B60" w:rsidRPr="00EA1A28">
        <w:t>accruals</w:t>
      </w:r>
      <w:r>
        <w:t xml:space="preserve">, </w:t>
      </w:r>
      <w:r w:rsidR="00270B60" w:rsidRPr="00EA1A28">
        <w:t>prepayments,</w:t>
      </w:r>
      <w:r w:rsidR="0001692F">
        <w:t xml:space="preserve"> </w:t>
      </w:r>
      <w:r>
        <w:t xml:space="preserve">income in advance and deferred income for material items on </w:t>
      </w:r>
      <w:r w:rsidR="00270B60" w:rsidRPr="00EA1A28">
        <w:t>a monthly basis</w:t>
      </w:r>
      <w:r>
        <w:t>. This improve</w:t>
      </w:r>
      <w:r w:rsidR="00BB5116">
        <w:t>s</w:t>
      </w:r>
      <w:r>
        <w:t xml:space="preserve"> the accuracy of monthly departmental accounts by removing </w:t>
      </w:r>
      <w:r w:rsidR="006E0ABB" w:rsidRPr="00EA1A28">
        <w:t>distortion</w:t>
      </w:r>
      <w:r>
        <w:t>s</w:t>
      </w:r>
      <w:r w:rsidR="006E0ABB" w:rsidRPr="00EA1A28">
        <w:t xml:space="preserve"> to departmental I&amp;E acc</w:t>
      </w:r>
      <w:r>
        <w:t>ounts due to timing differences and not matching costs and incomes</w:t>
      </w:r>
      <w:r w:rsidR="00BB5116">
        <w:t>.</w:t>
      </w:r>
    </w:p>
    <w:p w:rsidR="00EA1A28" w:rsidRPr="00EA1A28" w:rsidRDefault="00BB5116" w:rsidP="00BB5116">
      <w:pPr>
        <w:jc w:val="both"/>
      </w:pPr>
      <w:r>
        <w:t xml:space="preserve">At year-end all departments should post </w:t>
      </w:r>
      <w:r w:rsidRPr="00BB5116">
        <w:t>accruals, prepayments, income in advance and deferred income</w:t>
      </w:r>
      <w:r>
        <w:t xml:space="preserve"> to ensure material items of income and expenditure fall within </w:t>
      </w:r>
      <w:r w:rsidR="00DA4904">
        <w:t>the</w:t>
      </w:r>
      <w:r>
        <w:t xml:space="preserve"> financial year</w:t>
      </w:r>
      <w:r w:rsidR="00DA4904">
        <w:t xml:space="preserve"> to which they relate.</w:t>
      </w:r>
      <w:bookmarkStart w:id="0" w:name="_GoBack"/>
      <w:bookmarkEnd w:id="0"/>
    </w:p>
    <w:p w:rsidR="00976674" w:rsidRPr="00564913" w:rsidRDefault="00976674" w:rsidP="00BB5116">
      <w:pPr>
        <w:jc w:val="both"/>
        <w:rPr>
          <w:b/>
          <w:sz w:val="28"/>
          <w:szCs w:val="28"/>
        </w:rPr>
      </w:pPr>
      <w:r w:rsidRPr="00564913">
        <w:rPr>
          <w:b/>
          <w:sz w:val="28"/>
          <w:szCs w:val="28"/>
        </w:rPr>
        <w:t>Guidelines</w:t>
      </w:r>
    </w:p>
    <w:p w:rsidR="00C403E5" w:rsidRPr="00EA1A28" w:rsidRDefault="00635205" w:rsidP="00BB5116">
      <w:pPr>
        <w:jc w:val="both"/>
      </w:pPr>
      <w:r w:rsidRPr="00EA1A28">
        <w:rPr>
          <w:b/>
        </w:rPr>
        <w:t>R</w:t>
      </w:r>
      <w:r w:rsidR="006352AA" w:rsidRPr="00EA1A28">
        <w:rPr>
          <w:b/>
        </w:rPr>
        <w:t>eversing Journals</w:t>
      </w:r>
      <w:r w:rsidR="00DA4904">
        <w:rPr>
          <w:b/>
        </w:rPr>
        <w:t xml:space="preserve"> </w:t>
      </w:r>
      <w:r w:rsidR="00DA4904" w:rsidRPr="00DA4904">
        <w:t xml:space="preserve">– All </w:t>
      </w:r>
      <w:r w:rsidR="00BB5116">
        <w:t>accruals should</w:t>
      </w:r>
      <w:r w:rsidR="00033792">
        <w:t xml:space="preserve"> be posted using</w:t>
      </w:r>
      <w:r w:rsidR="00080C36" w:rsidRPr="00EA1A28">
        <w:t xml:space="preserve"> </w:t>
      </w:r>
      <w:r w:rsidR="00C403E5" w:rsidRPr="00EA1A28">
        <w:t xml:space="preserve">reversing journals </w:t>
      </w:r>
      <w:r w:rsidR="00033792">
        <w:t>and not adjustment journals</w:t>
      </w:r>
      <w:r w:rsidR="00080C36" w:rsidRPr="00EA1A28">
        <w:t xml:space="preserve">. Please ensure you use </w:t>
      </w:r>
      <w:r w:rsidR="00080C36" w:rsidRPr="00AE2369">
        <w:rPr>
          <w:b/>
        </w:rPr>
        <w:t xml:space="preserve">‘1 Reversing’ </w:t>
      </w:r>
      <w:r w:rsidR="00B37CA1">
        <w:t>to create a reversing journal.</w:t>
      </w:r>
    </w:p>
    <w:p w:rsidR="00267186" w:rsidRDefault="000C6DA5" w:rsidP="00BB5116">
      <w:pPr>
        <w:jc w:val="both"/>
      </w:pPr>
      <w:r w:rsidRPr="00EA1A28">
        <w:rPr>
          <w:b/>
        </w:rPr>
        <w:t>Projects module</w:t>
      </w:r>
      <w:r w:rsidRPr="00EA1A28">
        <w:t xml:space="preserve"> –</w:t>
      </w:r>
      <w:r w:rsidR="00BB5116">
        <w:t xml:space="preserve"> Accruals and prepayments are only entered onto the </w:t>
      </w:r>
      <w:r w:rsidR="00DA4904">
        <w:t xml:space="preserve">projects module </w:t>
      </w:r>
      <w:r w:rsidR="00BB5116">
        <w:t>at year-end</w:t>
      </w:r>
      <w:r w:rsidR="00033792">
        <w:t>. This is because funder reporting is usually on an actual cost basis rather than an accrued basis and monthly a</w:t>
      </w:r>
      <w:r w:rsidR="00BB5116">
        <w:t>ccruals and their reversals would</w:t>
      </w:r>
      <w:r w:rsidR="00033792">
        <w:t xml:space="preserve"> distort key Projects module reports for PI’s.</w:t>
      </w:r>
    </w:p>
    <w:p w:rsidR="00D16F60" w:rsidRDefault="00D16F60" w:rsidP="00BB5116">
      <w:pPr>
        <w:jc w:val="both"/>
      </w:pPr>
      <w:r w:rsidRPr="00D16F60">
        <w:rPr>
          <w:b/>
        </w:rPr>
        <w:t xml:space="preserve">GRN Accruals - </w:t>
      </w:r>
      <w:r w:rsidRPr="00D16F60">
        <w:t xml:space="preserve">Please note that </w:t>
      </w:r>
      <w:r>
        <w:t xml:space="preserve">the </w:t>
      </w:r>
      <w:r w:rsidR="00BB5116">
        <w:t xml:space="preserve">Finance Division runs a </w:t>
      </w:r>
      <w:r w:rsidRPr="00D16F60">
        <w:t>GRN accruals</w:t>
      </w:r>
      <w:r w:rsidR="00DA4904">
        <w:t xml:space="preserve"> process</w:t>
      </w:r>
      <w:r w:rsidRPr="00D16F60">
        <w:t xml:space="preserve"> </w:t>
      </w:r>
      <w:r w:rsidR="00BB5116">
        <w:t>so</w:t>
      </w:r>
      <w:r w:rsidRPr="00D16F60">
        <w:t xml:space="preserve"> please</w:t>
      </w:r>
      <w:r>
        <w:t xml:space="preserve"> take care not to </w:t>
      </w:r>
      <w:r w:rsidRPr="00D16F60">
        <w:t>duplicate</w:t>
      </w:r>
      <w:r>
        <w:t xml:space="preserve"> accruals</w:t>
      </w:r>
      <w:r w:rsidRPr="00D16F60">
        <w:t>.</w:t>
      </w:r>
    </w:p>
    <w:p w:rsidR="00D16F60" w:rsidRPr="00D16F60" w:rsidRDefault="00D73046" w:rsidP="00BB5116">
      <w:pPr>
        <w:jc w:val="both"/>
      </w:pPr>
      <w:r>
        <w:rPr>
          <w:b/>
        </w:rPr>
        <w:t>Capital C</w:t>
      </w:r>
      <w:r w:rsidR="00D16F60" w:rsidRPr="00D16F60">
        <w:rPr>
          <w:b/>
        </w:rPr>
        <w:t xml:space="preserve">osts </w:t>
      </w:r>
      <w:r w:rsidR="00D16F60">
        <w:rPr>
          <w:b/>
        </w:rPr>
        <w:t>–</w:t>
      </w:r>
      <w:r w:rsidR="00D16F60" w:rsidRPr="00D16F60">
        <w:rPr>
          <w:b/>
        </w:rPr>
        <w:t xml:space="preserve"> </w:t>
      </w:r>
      <w:r w:rsidR="00D16F60" w:rsidRPr="00D16F60">
        <w:t>If a department has a capital GRN accrual that is internally funded and is causing budget issues at month end, please contact the Fixed Asset Team in advance of WD6.</w:t>
      </w:r>
    </w:p>
    <w:p w:rsidR="00267186" w:rsidRDefault="006E0ABB" w:rsidP="00BB5116">
      <w:pPr>
        <w:jc w:val="both"/>
      </w:pPr>
      <w:r w:rsidRPr="00EA1A28">
        <w:rPr>
          <w:b/>
        </w:rPr>
        <w:lastRenderedPageBreak/>
        <w:t>Materiality</w:t>
      </w:r>
      <w:r w:rsidRPr="00EA1A28">
        <w:t xml:space="preserve"> –</w:t>
      </w:r>
      <w:r w:rsidR="00267186" w:rsidRPr="00EA1A28">
        <w:t xml:space="preserve"> </w:t>
      </w:r>
      <w:r w:rsidR="00033792">
        <w:t xml:space="preserve">It has been agreed that </w:t>
      </w:r>
      <w:r w:rsidR="00267186" w:rsidRPr="00EA1A28">
        <w:t xml:space="preserve">Divisions </w:t>
      </w:r>
      <w:r w:rsidR="00033792">
        <w:t xml:space="preserve">will </w:t>
      </w:r>
      <w:r w:rsidR="00267186" w:rsidRPr="00EA1A28">
        <w:t>set their own materiality level</w:t>
      </w:r>
      <w:r w:rsidR="0001692F">
        <w:t xml:space="preserve"> (subject to meeting requirements for the financial statements)</w:t>
      </w:r>
      <w:r w:rsidR="00B37CA1">
        <w:t>.</w:t>
      </w:r>
    </w:p>
    <w:p w:rsidR="000F3665" w:rsidRDefault="000F3665" w:rsidP="00BB5116">
      <w:pPr>
        <w:jc w:val="both"/>
      </w:pPr>
      <w:r>
        <w:rPr>
          <w:b/>
        </w:rPr>
        <w:t>Year-</w:t>
      </w:r>
      <w:r w:rsidRPr="000F3665">
        <w:rPr>
          <w:b/>
        </w:rPr>
        <w:t xml:space="preserve">end Materiality </w:t>
      </w:r>
      <w:r>
        <w:rPr>
          <w:b/>
        </w:rPr>
        <w:t>–</w:t>
      </w:r>
      <w:r w:rsidRPr="000F3665">
        <w:rPr>
          <w:b/>
        </w:rPr>
        <w:t xml:space="preserve"> </w:t>
      </w:r>
      <w:r w:rsidRPr="000F3665">
        <w:t>Above £5</w:t>
      </w:r>
      <w:r w:rsidR="00437D3E">
        <w:t>,</w:t>
      </w:r>
      <w:r w:rsidRPr="000F3665">
        <w:t xml:space="preserve">000 must be accrued for at year-end. </w:t>
      </w:r>
      <w:r w:rsidR="00327F0D">
        <w:t xml:space="preserve">Accruals that are below this amount are at the </w:t>
      </w:r>
      <w:r w:rsidR="00437D3E">
        <w:t>division/department</w:t>
      </w:r>
      <w:r w:rsidR="00DA4904">
        <w:t>’</w:t>
      </w:r>
      <w:r w:rsidR="00437D3E">
        <w:t>s discretion.</w:t>
      </w:r>
    </w:p>
    <w:p w:rsidR="006E0ABB" w:rsidRDefault="006E0ABB" w:rsidP="00BB5116">
      <w:pPr>
        <w:jc w:val="both"/>
      </w:pPr>
      <w:r w:rsidRPr="00EA1A28">
        <w:rPr>
          <w:b/>
        </w:rPr>
        <w:t>Budget variances</w:t>
      </w:r>
      <w:r w:rsidRPr="00EA1A28">
        <w:t xml:space="preserve"> </w:t>
      </w:r>
      <w:r w:rsidR="00267186" w:rsidRPr="00EA1A28">
        <w:t>–</w:t>
      </w:r>
      <w:r w:rsidR="00D92407" w:rsidRPr="00EA1A28">
        <w:t xml:space="preserve"> </w:t>
      </w:r>
      <w:r w:rsidR="00267186" w:rsidRPr="00EA1A28">
        <w:t>should not be</w:t>
      </w:r>
      <w:r w:rsidRPr="00EA1A28">
        <w:t xml:space="preserve"> accrued for</w:t>
      </w:r>
      <w:r w:rsidR="000F3665">
        <w:t xml:space="preserve"> where the activity has not taken place</w:t>
      </w:r>
      <w:r w:rsidRPr="00EA1A28">
        <w:t>, they should be explained as timing issues.</w:t>
      </w:r>
    </w:p>
    <w:p w:rsidR="00492957" w:rsidRPr="00EA1A28" w:rsidRDefault="00492957" w:rsidP="00BB5116">
      <w:pPr>
        <w:jc w:val="both"/>
      </w:pPr>
      <w:r w:rsidRPr="009E0298">
        <w:rPr>
          <w:b/>
        </w:rPr>
        <w:t>Donations/Trusts Accruals</w:t>
      </w:r>
      <w:r>
        <w:t xml:space="preserve"> </w:t>
      </w:r>
      <w:r w:rsidR="009E0298">
        <w:t>Income matching is carried out by centrally controlled processes</w:t>
      </w:r>
      <w:r w:rsidR="00F57A30">
        <w:t xml:space="preserve"> so there should be no income accruals</w:t>
      </w:r>
      <w:r w:rsidR="00DA4904">
        <w:t xml:space="preserve"> or deferrals</w:t>
      </w:r>
      <w:r w:rsidR="009E0298">
        <w:t>.</w:t>
      </w:r>
      <w:r w:rsidR="00F57A30">
        <w:t xml:space="preserve"> Expenditure accruals are </w:t>
      </w:r>
      <w:r w:rsidR="00BB5116">
        <w:t>and prepayments are fine.</w:t>
      </w:r>
    </w:p>
    <w:p w:rsidR="00267186" w:rsidRDefault="00DA4904" w:rsidP="00BB5116">
      <w:pPr>
        <w:jc w:val="both"/>
      </w:pPr>
      <w:r>
        <w:rPr>
          <w:b/>
        </w:rPr>
        <w:t>Research over</w:t>
      </w:r>
      <w:r w:rsidR="00D92407" w:rsidRPr="00EA1A28">
        <w:rPr>
          <w:b/>
        </w:rPr>
        <w:t>heads</w:t>
      </w:r>
      <w:r w:rsidR="00D92407" w:rsidRPr="00EA1A28">
        <w:t xml:space="preserve"> –</w:t>
      </w:r>
      <w:r>
        <w:t xml:space="preserve"> Should </w:t>
      </w:r>
      <w:r w:rsidR="00267186" w:rsidRPr="00EA1A28">
        <w:t>not be accrued.</w:t>
      </w:r>
    </w:p>
    <w:p w:rsidR="00F57A30" w:rsidRPr="00EA1A28" w:rsidRDefault="00F57A30" w:rsidP="00BB5116">
      <w:pPr>
        <w:jc w:val="both"/>
      </w:pPr>
      <w:r w:rsidRPr="00F57A30">
        <w:rPr>
          <w:b/>
        </w:rPr>
        <w:t>Internal recharges</w:t>
      </w:r>
      <w:r>
        <w:t xml:space="preserve"> – Internal departmental accruals can be accrued during </w:t>
      </w:r>
      <w:r w:rsidR="00DA4904">
        <w:t xml:space="preserve">the </w:t>
      </w:r>
      <w:r>
        <w:t>year but must use act</w:t>
      </w:r>
      <w:r w:rsidR="00BB5116">
        <w:t>ivity 33 (Internal trade). This</w:t>
      </w:r>
      <w:r>
        <w:t xml:space="preserve"> cannot be done at year end as financial statements ne</w:t>
      </w:r>
      <w:r w:rsidR="00BB5116">
        <w:t>ed to be prepared</w:t>
      </w:r>
      <w:r>
        <w:t xml:space="preserve"> on an external basis.</w:t>
      </w:r>
    </w:p>
    <w:p w:rsidR="00D92407" w:rsidRPr="00EA1A28" w:rsidRDefault="00D92407" w:rsidP="00BB5116">
      <w:pPr>
        <w:jc w:val="both"/>
      </w:pPr>
      <w:r w:rsidRPr="00EA1A28">
        <w:rPr>
          <w:b/>
        </w:rPr>
        <w:t>Departmental month end timetable</w:t>
      </w:r>
      <w:r w:rsidRPr="00EA1A28">
        <w:t xml:space="preserve"> – </w:t>
      </w:r>
      <w:r w:rsidR="00267186" w:rsidRPr="00EA1A28">
        <w:t>Division to decide</w:t>
      </w:r>
      <w:r w:rsidR="00FB3AE3" w:rsidRPr="00EA1A28">
        <w:t xml:space="preserve"> on their own deadline, absolute deadline is 5pm WD7.</w:t>
      </w:r>
    </w:p>
    <w:p w:rsidR="00DA4904" w:rsidRDefault="00DA4904" w:rsidP="00BB5116">
      <w:pPr>
        <w:jc w:val="both"/>
        <w:rPr>
          <w:b/>
          <w:sz w:val="28"/>
          <w:szCs w:val="28"/>
        </w:rPr>
      </w:pPr>
    </w:p>
    <w:p w:rsidR="00DA4904" w:rsidRDefault="00DA4904" w:rsidP="00BB5116">
      <w:pPr>
        <w:jc w:val="both"/>
        <w:rPr>
          <w:b/>
          <w:sz w:val="28"/>
          <w:szCs w:val="28"/>
        </w:rPr>
      </w:pPr>
    </w:p>
    <w:p w:rsidR="00DA4904" w:rsidRDefault="00DA4904" w:rsidP="00BB5116">
      <w:pPr>
        <w:jc w:val="both"/>
        <w:rPr>
          <w:b/>
          <w:sz w:val="28"/>
          <w:szCs w:val="28"/>
        </w:rPr>
      </w:pPr>
    </w:p>
    <w:p w:rsidR="00FB3AE3" w:rsidRPr="00564913" w:rsidRDefault="00EA1A28" w:rsidP="00BB5116">
      <w:pPr>
        <w:jc w:val="both"/>
        <w:rPr>
          <w:b/>
          <w:sz w:val="28"/>
          <w:szCs w:val="28"/>
        </w:rPr>
      </w:pPr>
      <w:r w:rsidRPr="00564913">
        <w:rPr>
          <w:b/>
          <w:sz w:val="28"/>
          <w:szCs w:val="28"/>
        </w:rPr>
        <w:t>Where to code?</w:t>
      </w:r>
    </w:p>
    <w:tbl>
      <w:tblPr>
        <w:tblStyle w:val="TableGrid"/>
        <w:tblW w:w="0" w:type="auto"/>
        <w:tblLook w:val="04A0" w:firstRow="1" w:lastRow="0" w:firstColumn="1" w:lastColumn="0" w:noHBand="0" w:noVBand="1"/>
      </w:tblPr>
      <w:tblGrid>
        <w:gridCol w:w="4508"/>
        <w:gridCol w:w="4508"/>
      </w:tblGrid>
      <w:tr w:rsidR="00FB3AE3" w:rsidTr="00FB3AE3">
        <w:tc>
          <w:tcPr>
            <w:tcW w:w="4508" w:type="dxa"/>
          </w:tcPr>
          <w:p w:rsidR="00FB3AE3" w:rsidRPr="00EA1A28" w:rsidRDefault="00FB3AE3" w:rsidP="00BB5116">
            <w:pPr>
              <w:jc w:val="both"/>
              <w:rPr>
                <w:b/>
                <w:sz w:val="24"/>
                <w:szCs w:val="24"/>
              </w:rPr>
            </w:pPr>
            <w:r w:rsidRPr="00EA1A28">
              <w:rPr>
                <w:b/>
                <w:sz w:val="24"/>
                <w:szCs w:val="24"/>
              </w:rPr>
              <w:t>Accrual type</w:t>
            </w:r>
          </w:p>
        </w:tc>
        <w:tc>
          <w:tcPr>
            <w:tcW w:w="4508" w:type="dxa"/>
          </w:tcPr>
          <w:p w:rsidR="00FB3AE3" w:rsidRPr="00EA1A28" w:rsidRDefault="00FB3AE3" w:rsidP="00BB5116">
            <w:pPr>
              <w:jc w:val="both"/>
              <w:rPr>
                <w:b/>
                <w:sz w:val="24"/>
                <w:szCs w:val="24"/>
              </w:rPr>
            </w:pPr>
            <w:r w:rsidRPr="00EA1A28">
              <w:rPr>
                <w:b/>
                <w:sz w:val="24"/>
                <w:szCs w:val="24"/>
              </w:rPr>
              <w:t>Natural Account</w:t>
            </w:r>
          </w:p>
        </w:tc>
      </w:tr>
      <w:tr w:rsidR="00FB3AE3" w:rsidTr="00FB3AE3">
        <w:tc>
          <w:tcPr>
            <w:tcW w:w="4508" w:type="dxa"/>
          </w:tcPr>
          <w:p w:rsidR="00FB3AE3" w:rsidRPr="00EA1A28" w:rsidRDefault="00FB3AE3" w:rsidP="00BB5116">
            <w:pPr>
              <w:jc w:val="both"/>
            </w:pPr>
            <w:r w:rsidRPr="00EA1A28">
              <w:t>Income accrual</w:t>
            </w:r>
          </w:p>
        </w:tc>
        <w:tc>
          <w:tcPr>
            <w:tcW w:w="4508" w:type="dxa"/>
          </w:tcPr>
          <w:p w:rsidR="00FB3AE3" w:rsidRPr="00EA1A28" w:rsidRDefault="00FB3AE3" w:rsidP="00BB5116">
            <w:pPr>
              <w:jc w:val="both"/>
            </w:pPr>
            <w:r w:rsidRPr="00EA1A28">
              <w:t>19151</w:t>
            </w:r>
          </w:p>
        </w:tc>
      </w:tr>
      <w:tr w:rsidR="00FB3AE3" w:rsidTr="00FB3AE3">
        <w:tc>
          <w:tcPr>
            <w:tcW w:w="4508" w:type="dxa"/>
          </w:tcPr>
          <w:p w:rsidR="00FB3AE3" w:rsidRPr="00EA1A28" w:rsidRDefault="00FB3AE3" w:rsidP="00BB5116">
            <w:pPr>
              <w:jc w:val="both"/>
            </w:pPr>
            <w:r w:rsidRPr="00EA1A28">
              <w:t>Expenditure accrual</w:t>
            </w:r>
          </w:p>
        </w:tc>
        <w:tc>
          <w:tcPr>
            <w:tcW w:w="4508" w:type="dxa"/>
          </w:tcPr>
          <w:p w:rsidR="00FB3AE3" w:rsidRPr="00EA1A28" w:rsidRDefault="00FB3AE3" w:rsidP="00BB5116">
            <w:pPr>
              <w:jc w:val="both"/>
            </w:pPr>
            <w:r w:rsidRPr="00EA1A28">
              <w:t>22100</w:t>
            </w:r>
          </w:p>
        </w:tc>
      </w:tr>
      <w:tr w:rsidR="00FB3AE3" w:rsidTr="00FB3AE3">
        <w:tc>
          <w:tcPr>
            <w:tcW w:w="4508" w:type="dxa"/>
          </w:tcPr>
          <w:p w:rsidR="00FB3AE3" w:rsidRPr="00EA1A28" w:rsidRDefault="00FB3AE3" w:rsidP="00BB5116">
            <w:pPr>
              <w:jc w:val="both"/>
            </w:pPr>
            <w:r w:rsidRPr="00EA1A28">
              <w:t xml:space="preserve">Prepayment </w:t>
            </w:r>
          </w:p>
        </w:tc>
        <w:tc>
          <w:tcPr>
            <w:tcW w:w="4508" w:type="dxa"/>
          </w:tcPr>
          <w:p w:rsidR="00FB3AE3" w:rsidRPr="00EA1A28" w:rsidRDefault="00FB3AE3" w:rsidP="00BB5116">
            <w:pPr>
              <w:jc w:val="both"/>
            </w:pPr>
            <w:r w:rsidRPr="00EA1A28">
              <w:t>14000</w:t>
            </w:r>
          </w:p>
        </w:tc>
      </w:tr>
      <w:tr w:rsidR="00FB3AE3" w:rsidTr="00FB3AE3">
        <w:tc>
          <w:tcPr>
            <w:tcW w:w="4508" w:type="dxa"/>
          </w:tcPr>
          <w:p w:rsidR="00FB3AE3" w:rsidRPr="00EA1A28" w:rsidRDefault="00FB3AE3" w:rsidP="00BB5116">
            <w:pPr>
              <w:jc w:val="both"/>
            </w:pPr>
            <w:r w:rsidRPr="00EA1A28">
              <w:t>Income received in advance</w:t>
            </w:r>
          </w:p>
        </w:tc>
        <w:tc>
          <w:tcPr>
            <w:tcW w:w="4508" w:type="dxa"/>
          </w:tcPr>
          <w:p w:rsidR="00FB3AE3" w:rsidRPr="00EA1A28" w:rsidRDefault="00FB3AE3" w:rsidP="00BB5116">
            <w:pPr>
              <w:jc w:val="both"/>
            </w:pPr>
            <w:r w:rsidRPr="00EA1A28">
              <w:t>26900</w:t>
            </w:r>
          </w:p>
        </w:tc>
      </w:tr>
    </w:tbl>
    <w:p w:rsidR="0001692F" w:rsidRDefault="0001692F" w:rsidP="00BB5116">
      <w:pPr>
        <w:jc w:val="both"/>
      </w:pPr>
    </w:p>
    <w:p w:rsidR="00033792" w:rsidRPr="00EE3316" w:rsidRDefault="0001692F" w:rsidP="00BB5116">
      <w:pPr>
        <w:jc w:val="both"/>
      </w:pPr>
      <w:r w:rsidRPr="00990920">
        <w:t>Departmental cost centres</w:t>
      </w:r>
      <w:r>
        <w:t xml:space="preserve"> should be used to enable the Financial Reporting Team and the Divisional Finance Teams to identify which department the transactions belong to.</w:t>
      </w:r>
    </w:p>
    <w:p w:rsidR="003640A6" w:rsidRPr="00564913" w:rsidRDefault="003640A6" w:rsidP="00BB5116">
      <w:pPr>
        <w:jc w:val="both"/>
        <w:rPr>
          <w:b/>
          <w:sz w:val="28"/>
          <w:szCs w:val="28"/>
        </w:rPr>
      </w:pPr>
      <w:r w:rsidRPr="00564913">
        <w:rPr>
          <w:b/>
          <w:sz w:val="28"/>
          <w:szCs w:val="28"/>
        </w:rPr>
        <w:t>Reconciliations</w:t>
      </w:r>
    </w:p>
    <w:p w:rsidR="003640A6" w:rsidRPr="00EA1A28" w:rsidRDefault="00BB5116" w:rsidP="00BB5116">
      <w:pPr>
        <w:jc w:val="both"/>
      </w:pPr>
      <w:r>
        <w:t>Reconciliations</w:t>
      </w:r>
      <w:r w:rsidR="003640A6" w:rsidRPr="00EA1A28">
        <w:t xml:space="preserve"> of the balance sheet codes will continue to be done centrally on a monthly basis. Divisions should ensure that their departments are able to provide a r</w:t>
      </w:r>
      <w:r w:rsidR="00EA1A28">
        <w:t xml:space="preserve">econciliation </w:t>
      </w:r>
      <w:r w:rsidR="003640A6" w:rsidRPr="00EA1A28">
        <w:t>at any time, we would suggest that a monthly or quarterly reconciliation is maintained.</w:t>
      </w:r>
      <w:r w:rsidR="00BC4DC7">
        <w:t xml:space="preserve"> </w:t>
      </w:r>
      <w:r w:rsidR="003640A6" w:rsidRPr="00EA1A28">
        <w:t>The auditors will request to see reconciliations and backing documents at year end.</w:t>
      </w:r>
    </w:p>
    <w:p w:rsidR="00270B60" w:rsidRPr="00BC4DC7" w:rsidRDefault="00270B60" w:rsidP="00BB5116">
      <w:pPr>
        <w:jc w:val="both"/>
        <w:rPr>
          <w:b/>
          <w:sz w:val="28"/>
          <w:szCs w:val="28"/>
        </w:rPr>
      </w:pPr>
      <w:r w:rsidRPr="00BC4DC7">
        <w:rPr>
          <w:b/>
          <w:sz w:val="28"/>
          <w:szCs w:val="28"/>
        </w:rPr>
        <w:t xml:space="preserve">What is accruals </w:t>
      </w:r>
      <w:r w:rsidR="00711BA6" w:rsidRPr="00BC4DC7">
        <w:rPr>
          <w:b/>
          <w:sz w:val="28"/>
          <w:szCs w:val="28"/>
        </w:rPr>
        <w:t>accounting?</w:t>
      </w:r>
    </w:p>
    <w:p w:rsidR="00711BA6" w:rsidRDefault="00711BA6" w:rsidP="00BB5116">
      <w:pPr>
        <w:jc w:val="both"/>
      </w:pPr>
      <w:r w:rsidRPr="00711BA6">
        <w:t xml:space="preserve">Accruals accounting is recommended </w:t>
      </w:r>
      <w:r>
        <w:t>practice in the Higher Education SORP</w:t>
      </w:r>
      <w:r w:rsidR="00BB5116">
        <w:t xml:space="preserve"> (the rules followed by the University for </w:t>
      </w:r>
      <w:proofErr w:type="gramStart"/>
      <w:r w:rsidR="00BB5116">
        <w:t>financial</w:t>
      </w:r>
      <w:proofErr w:type="gramEnd"/>
      <w:r w:rsidR="00BB5116">
        <w:t xml:space="preserve"> accounting)</w:t>
      </w:r>
      <w:r>
        <w:t xml:space="preserve"> and, when applied to monthly management accounting, can broadly be described as – </w:t>
      </w:r>
    </w:p>
    <w:p w:rsidR="00711BA6" w:rsidRDefault="00711BA6" w:rsidP="00BB5116">
      <w:pPr>
        <w:jc w:val="both"/>
        <w:rPr>
          <w:b/>
          <w:i/>
        </w:rPr>
      </w:pPr>
      <w:r w:rsidRPr="00711BA6">
        <w:rPr>
          <w:b/>
          <w:i/>
        </w:rPr>
        <w:t>‘Recognising revenues and costs in the month in which they are incurred and not the month in which the cash is actually received or paid’.</w:t>
      </w:r>
    </w:p>
    <w:p w:rsidR="00711BA6" w:rsidRDefault="00711BA6" w:rsidP="00BB5116">
      <w:pPr>
        <w:jc w:val="both"/>
      </w:pPr>
      <w:r>
        <w:t xml:space="preserve">This is distinct from cash accounting where revenue and costs </w:t>
      </w:r>
      <w:r w:rsidRPr="00711BA6">
        <w:rPr>
          <w:b/>
        </w:rPr>
        <w:t>are</w:t>
      </w:r>
      <w:r>
        <w:t xml:space="preserve"> recognised in the month in which they are paid or received.</w:t>
      </w:r>
    </w:p>
    <w:p w:rsidR="00711BA6" w:rsidRDefault="00711BA6" w:rsidP="00BB5116">
      <w:pPr>
        <w:jc w:val="both"/>
      </w:pPr>
      <w:r>
        <w:t xml:space="preserve">In practical terms this can be split </w:t>
      </w:r>
      <w:r w:rsidR="00F836D3">
        <w:t xml:space="preserve">into four main areas </w:t>
      </w:r>
      <w:r>
        <w:t xml:space="preserve">when applied to </w:t>
      </w:r>
      <w:r w:rsidR="00F836D3">
        <w:t xml:space="preserve">the </w:t>
      </w:r>
      <w:r>
        <w:t xml:space="preserve">departmental management accounts </w:t>
      </w:r>
      <w:r w:rsidR="00F836D3">
        <w:t>of the University and an explanation of each is outlined below–</w:t>
      </w:r>
      <w:r>
        <w:t xml:space="preserve"> </w:t>
      </w:r>
    </w:p>
    <w:p w:rsidR="00F836D3" w:rsidRDefault="00F836D3" w:rsidP="00BB5116">
      <w:pPr>
        <w:jc w:val="both"/>
      </w:pPr>
      <w:r w:rsidRPr="00673E5F">
        <w:rPr>
          <w:b/>
          <w:i/>
        </w:rPr>
        <w:t>Income accrual</w:t>
      </w:r>
      <w:r>
        <w:t xml:space="preserve"> – </w:t>
      </w:r>
      <w:r w:rsidR="00673E5F">
        <w:t>A service has been provided during a month</w:t>
      </w:r>
      <w:r w:rsidR="00100F9B">
        <w:t>,</w:t>
      </w:r>
      <w:r w:rsidR="00673E5F">
        <w:t xml:space="preserve"> so the income should be included in that month by way of an income accrual</w:t>
      </w:r>
      <w:r w:rsidR="00100F9B">
        <w:t>,</w:t>
      </w:r>
      <w:r w:rsidR="00673E5F">
        <w:t xml:space="preserve"> if the invoice is not raised until </w:t>
      </w:r>
      <w:r w:rsidR="00436783">
        <w:t>the following</w:t>
      </w:r>
      <w:r w:rsidR="00673E5F">
        <w:t xml:space="preserve"> month. An example of this could be hosting a conference/meeting for an outside company on the 30</w:t>
      </w:r>
      <w:r w:rsidR="00673E5F" w:rsidRPr="00673E5F">
        <w:rPr>
          <w:vertAlign w:val="superscript"/>
        </w:rPr>
        <w:t>th</w:t>
      </w:r>
      <w:r w:rsidR="00673E5F">
        <w:t xml:space="preserve"> of the month and not invoicing until the 4</w:t>
      </w:r>
      <w:r w:rsidR="00673E5F" w:rsidRPr="00673E5F">
        <w:rPr>
          <w:vertAlign w:val="superscript"/>
        </w:rPr>
        <w:t>th</w:t>
      </w:r>
      <w:r w:rsidR="00673E5F">
        <w:t xml:space="preserve"> of the following month.</w:t>
      </w:r>
    </w:p>
    <w:p w:rsidR="00F836D3" w:rsidRDefault="00F836D3" w:rsidP="00BB5116">
      <w:pPr>
        <w:jc w:val="both"/>
      </w:pPr>
      <w:r w:rsidRPr="00673E5F">
        <w:rPr>
          <w:b/>
          <w:i/>
        </w:rPr>
        <w:lastRenderedPageBreak/>
        <w:t>Expenditure accrual</w:t>
      </w:r>
      <w:r>
        <w:t xml:space="preserve"> – </w:t>
      </w:r>
      <w:r w:rsidR="004F21D7">
        <w:t>A cost has been incurred in the month but the invoice has yet to be received. The Financial Reporting Team currently operates the Good Received Note (GRN) accruals process for where amounts have been received and matched to purchase orders (receipted) but invoices have yet to be received. These are centrally posted accruals. Departments should post additional expenditure accruals that have not been picked up in the monthly accruals process either because the goods/services have not been rec</w:t>
      </w:r>
      <w:r w:rsidR="00436783">
        <w:t xml:space="preserve">eipted or </w:t>
      </w:r>
      <w:r w:rsidR="004F21D7">
        <w:t>for expenditure incurred outside of the purchase order process.</w:t>
      </w:r>
      <w:r w:rsidR="0065011B">
        <w:t xml:space="preserve"> </w:t>
      </w:r>
      <w:r w:rsidR="00436783">
        <w:t xml:space="preserve"> An example of this w</w:t>
      </w:r>
      <w:r w:rsidR="0065011B">
        <w:t xml:space="preserve">ould be agency staff fees where the supplier of </w:t>
      </w:r>
      <w:r w:rsidR="00436783">
        <w:t>these temporary staff are slow</w:t>
      </w:r>
      <w:r w:rsidR="0065011B">
        <w:t xml:space="preserve"> with their invoicing.</w:t>
      </w:r>
    </w:p>
    <w:p w:rsidR="00F836D3" w:rsidRDefault="00F836D3" w:rsidP="00BB5116">
      <w:pPr>
        <w:jc w:val="both"/>
      </w:pPr>
      <w:r w:rsidRPr="00673E5F">
        <w:rPr>
          <w:b/>
          <w:i/>
        </w:rPr>
        <w:t>Prepayment</w:t>
      </w:r>
      <w:r>
        <w:t xml:space="preserve"> – </w:t>
      </w:r>
      <w:r w:rsidR="0065011B">
        <w:t>A payment for goods/services has been incurred in a month but the benefit of the goods/service will be experienced over future months. An example of this is a software maintenance contract paid in August where the contract covers a period of 12 months. The cost should be spread equa</w:t>
      </w:r>
      <w:r w:rsidR="00436783">
        <w:t>lly over the relevant 12 months by way of a prepayment.</w:t>
      </w:r>
    </w:p>
    <w:p w:rsidR="00F836D3" w:rsidRDefault="00F836D3" w:rsidP="00BB5116">
      <w:pPr>
        <w:jc w:val="both"/>
      </w:pPr>
      <w:r w:rsidRPr="00673E5F">
        <w:rPr>
          <w:b/>
          <w:i/>
        </w:rPr>
        <w:t>Income received in advance</w:t>
      </w:r>
      <w:r>
        <w:t xml:space="preserve"> </w:t>
      </w:r>
      <w:r w:rsidR="00B10674">
        <w:t>–</w:t>
      </w:r>
      <w:r>
        <w:t xml:space="preserve"> </w:t>
      </w:r>
      <w:r w:rsidR="00B10674">
        <w:t xml:space="preserve">A payment has been </w:t>
      </w:r>
      <w:r w:rsidR="0001692F">
        <w:t xml:space="preserve">received </w:t>
      </w:r>
      <w:r w:rsidR="00B10674">
        <w:t xml:space="preserve">for a service that will cover a period longer than the month in which the </w:t>
      </w:r>
      <w:r w:rsidR="0001692F">
        <w:t>cash was received</w:t>
      </w:r>
      <w:r w:rsidR="00034382">
        <w:t>. An example of this would be membership fees received in August that cover the year until the end of July. The income should be spread eq</w:t>
      </w:r>
      <w:r w:rsidR="00436783">
        <w:t>ually over the entire 12 months.</w:t>
      </w:r>
    </w:p>
    <w:p w:rsidR="00EE3316" w:rsidRDefault="00EE3316" w:rsidP="00BB5116">
      <w:pPr>
        <w:jc w:val="both"/>
      </w:pPr>
      <w:r>
        <w:t>Further information on FRS 102 and SORP accounting policies can be found in the Financial Statements.</w:t>
      </w:r>
    </w:p>
    <w:p w:rsidR="00D46B63" w:rsidRDefault="00D46B63" w:rsidP="00BB5116">
      <w:pPr>
        <w:jc w:val="both"/>
        <w:rPr>
          <w:b/>
          <w:sz w:val="36"/>
          <w:szCs w:val="36"/>
        </w:rPr>
      </w:pPr>
      <w:r>
        <w:rPr>
          <w:b/>
          <w:sz w:val="36"/>
          <w:szCs w:val="36"/>
        </w:rPr>
        <w:t xml:space="preserve">Divisional </w:t>
      </w:r>
      <w:r w:rsidR="00BB5116">
        <w:rPr>
          <w:b/>
          <w:sz w:val="36"/>
          <w:szCs w:val="36"/>
        </w:rPr>
        <w:t>materiality level</w:t>
      </w:r>
    </w:p>
    <w:tbl>
      <w:tblPr>
        <w:tblStyle w:val="TableGrid"/>
        <w:tblW w:w="9067" w:type="dxa"/>
        <w:tblLook w:val="04A0" w:firstRow="1" w:lastRow="0" w:firstColumn="1" w:lastColumn="0" w:noHBand="0" w:noVBand="1"/>
      </w:tblPr>
      <w:tblGrid>
        <w:gridCol w:w="2304"/>
        <w:gridCol w:w="3503"/>
        <w:gridCol w:w="3260"/>
      </w:tblGrid>
      <w:tr w:rsidR="00BB5116" w:rsidTr="00BB5116">
        <w:tc>
          <w:tcPr>
            <w:tcW w:w="2304" w:type="dxa"/>
          </w:tcPr>
          <w:p w:rsidR="00BB5116" w:rsidRPr="00F224FD" w:rsidRDefault="00BB5116" w:rsidP="00BB5116">
            <w:pPr>
              <w:jc w:val="both"/>
              <w:rPr>
                <w:b/>
              </w:rPr>
            </w:pPr>
            <w:r w:rsidRPr="00F224FD">
              <w:rPr>
                <w:b/>
              </w:rPr>
              <w:t>Division</w:t>
            </w:r>
          </w:p>
        </w:tc>
        <w:tc>
          <w:tcPr>
            <w:tcW w:w="6763" w:type="dxa"/>
            <w:gridSpan w:val="2"/>
          </w:tcPr>
          <w:p w:rsidR="00BB5116" w:rsidRPr="00F224FD" w:rsidRDefault="00BB5116" w:rsidP="00BB5116">
            <w:pPr>
              <w:jc w:val="both"/>
              <w:rPr>
                <w:b/>
              </w:rPr>
            </w:pPr>
            <w:r w:rsidRPr="00F224FD">
              <w:rPr>
                <w:b/>
              </w:rPr>
              <w:t>Materiality level</w:t>
            </w:r>
          </w:p>
        </w:tc>
      </w:tr>
      <w:tr w:rsidR="00BB5116" w:rsidTr="00BB5116">
        <w:tc>
          <w:tcPr>
            <w:tcW w:w="2304" w:type="dxa"/>
          </w:tcPr>
          <w:p w:rsidR="00BB5116" w:rsidRDefault="00BB5116" w:rsidP="00BB5116">
            <w:pPr>
              <w:jc w:val="both"/>
            </w:pPr>
          </w:p>
        </w:tc>
        <w:tc>
          <w:tcPr>
            <w:tcW w:w="3503" w:type="dxa"/>
          </w:tcPr>
          <w:p w:rsidR="00BB5116" w:rsidRDefault="00BB5116" w:rsidP="00BB5116">
            <w:pPr>
              <w:jc w:val="both"/>
            </w:pPr>
            <w:r>
              <w:t>Month end</w:t>
            </w:r>
          </w:p>
        </w:tc>
        <w:tc>
          <w:tcPr>
            <w:tcW w:w="3260" w:type="dxa"/>
          </w:tcPr>
          <w:p w:rsidR="00BB5116" w:rsidRDefault="00BB5116" w:rsidP="00BB5116">
            <w:pPr>
              <w:jc w:val="both"/>
            </w:pPr>
            <w:r>
              <w:t>Year end (also see below)</w:t>
            </w:r>
          </w:p>
        </w:tc>
      </w:tr>
      <w:tr w:rsidR="00BB5116" w:rsidTr="00BB5116">
        <w:tc>
          <w:tcPr>
            <w:tcW w:w="2304" w:type="dxa"/>
          </w:tcPr>
          <w:p w:rsidR="00BB5116" w:rsidRDefault="00BB5116" w:rsidP="00BB5116">
            <w:pPr>
              <w:jc w:val="both"/>
            </w:pPr>
            <w:r>
              <w:t>MSD</w:t>
            </w:r>
          </w:p>
        </w:tc>
        <w:tc>
          <w:tcPr>
            <w:tcW w:w="3503" w:type="dxa"/>
          </w:tcPr>
          <w:p w:rsidR="00BB5116" w:rsidRDefault="00BB5116" w:rsidP="00BB5116">
            <w:pPr>
              <w:jc w:val="both"/>
            </w:pPr>
            <w:r>
              <w:t xml:space="preserve">£10k – per </w:t>
            </w:r>
            <w:proofErr w:type="spellStart"/>
            <w:r>
              <w:t>dept</w:t>
            </w:r>
            <w:proofErr w:type="spellEnd"/>
          </w:p>
        </w:tc>
        <w:tc>
          <w:tcPr>
            <w:tcW w:w="3260" w:type="dxa"/>
          </w:tcPr>
          <w:p w:rsidR="00BB5116" w:rsidRDefault="00BB5116" w:rsidP="00BB5116">
            <w:pPr>
              <w:jc w:val="both"/>
            </w:pPr>
            <w:r>
              <w:t xml:space="preserve">£5k – per </w:t>
            </w:r>
            <w:proofErr w:type="spellStart"/>
            <w:r>
              <w:t>dept</w:t>
            </w:r>
            <w:proofErr w:type="spellEnd"/>
          </w:p>
        </w:tc>
      </w:tr>
      <w:tr w:rsidR="00BB5116" w:rsidTr="00BB5116">
        <w:tc>
          <w:tcPr>
            <w:tcW w:w="2304" w:type="dxa"/>
          </w:tcPr>
          <w:p w:rsidR="00BB5116" w:rsidRDefault="00BB5116" w:rsidP="00BB5116">
            <w:pPr>
              <w:jc w:val="both"/>
            </w:pPr>
            <w:r>
              <w:t>MPLS</w:t>
            </w:r>
          </w:p>
        </w:tc>
        <w:tc>
          <w:tcPr>
            <w:tcW w:w="3503" w:type="dxa"/>
          </w:tcPr>
          <w:p w:rsidR="00BB5116" w:rsidRDefault="00BB5116" w:rsidP="00BB5116">
            <w:pPr>
              <w:jc w:val="both"/>
            </w:pPr>
            <w:r w:rsidRPr="00306F59">
              <w:t>£10k per I&amp;E mid-level natural account range</w:t>
            </w:r>
          </w:p>
        </w:tc>
        <w:tc>
          <w:tcPr>
            <w:tcW w:w="3260" w:type="dxa"/>
          </w:tcPr>
          <w:p w:rsidR="00BB5116" w:rsidRDefault="00BB5116" w:rsidP="00BB5116">
            <w:pPr>
              <w:jc w:val="both"/>
            </w:pPr>
            <w:r>
              <w:t>£5k</w:t>
            </w:r>
          </w:p>
        </w:tc>
      </w:tr>
      <w:tr w:rsidR="00BB5116" w:rsidTr="00BB5116">
        <w:tc>
          <w:tcPr>
            <w:tcW w:w="2304" w:type="dxa"/>
          </w:tcPr>
          <w:p w:rsidR="00BB5116" w:rsidRDefault="00BB5116" w:rsidP="00BB5116">
            <w:pPr>
              <w:jc w:val="both"/>
            </w:pPr>
            <w:r>
              <w:t>Humanities</w:t>
            </w:r>
          </w:p>
        </w:tc>
        <w:tc>
          <w:tcPr>
            <w:tcW w:w="3503" w:type="dxa"/>
          </w:tcPr>
          <w:p w:rsidR="00BB5116" w:rsidRDefault="00BB5116" w:rsidP="00BB5116">
            <w:pPr>
              <w:jc w:val="both"/>
            </w:pPr>
            <w:r>
              <w:t>£1K – per item</w:t>
            </w:r>
          </w:p>
        </w:tc>
        <w:tc>
          <w:tcPr>
            <w:tcW w:w="3260" w:type="dxa"/>
          </w:tcPr>
          <w:p w:rsidR="00BB5116" w:rsidRDefault="00BB5116" w:rsidP="00BB5116">
            <w:pPr>
              <w:jc w:val="both"/>
            </w:pPr>
            <w:r>
              <w:t>£1K – per item</w:t>
            </w:r>
          </w:p>
        </w:tc>
      </w:tr>
      <w:tr w:rsidR="00BB5116" w:rsidTr="00BB5116">
        <w:tc>
          <w:tcPr>
            <w:tcW w:w="2304" w:type="dxa"/>
          </w:tcPr>
          <w:p w:rsidR="00BB5116" w:rsidRDefault="00BB5116" w:rsidP="00BB5116">
            <w:pPr>
              <w:jc w:val="both"/>
            </w:pPr>
            <w:r>
              <w:t>Social Sciences</w:t>
            </w:r>
          </w:p>
        </w:tc>
        <w:tc>
          <w:tcPr>
            <w:tcW w:w="3503" w:type="dxa"/>
          </w:tcPr>
          <w:p w:rsidR="00BB5116" w:rsidRDefault="00BB5116" w:rsidP="00BB5116">
            <w:pPr>
              <w:jc w:val="both"/>
            </w:pPr>
            <w:r w:rsidRPr="00306F59">
              <w:t>£10k per I&amp;E mid-level natural account range</w:t>
            </w:r>
          </w:p>
        </w:tc>
        <w:tc>
          <w:tcPr>
            <w:tcW w:w="3260" w:type="dxa"/>
          </w:tcPr>
          <w:p w:rsidR="00BB5116" w:rsidRDefault="00BB5116" w:rsidP="00BB5116">
            <w:pPr>
              <w:jc w:val="both"/>
            </w:pPr>
            <w:r>
              <w:t>£5k</w:t>
            </w:r>
          </w:p>
        </w:tc>
      </w:tr>
      <w:tr w:rsidR="00BB5116" w:rsidTr="00BB5116">
        <w:tc>
          <w:tcPr>
            <w:tcW w:w="2304" w:type="dxa"/>
          </w:tcPr>
          <w:p w:rsidR="00BB5116" w:rsidRDefault="00BB5116" w:rsidP="00BB5116">
            <w:pPr>
              <w:jc w:val="both"/>
            </w:pPr>
            <w:r>
              <w:t>UAS/GLAM</w:t>
            </w:r>
          </w:p>
        </w:tc>
        <w:tc>
          <w:tcPr>
            <w:tcW w:w="3503" w:type="dxa"/>
          </w:tcPr>
          <w:p w:rsidR="00BB5116" w:rsidRDefault="00BB5116" w:rsidP="00BB5116">
            <w:pPr>
              <w:jc w:val="both"/>
            </w:pPr>
            <w:r>
              <w:t>£5k – per item</w:t>
            </w:r>
          </w:p>
        </w:tc>
        <w:tc>
          <w:tcPr>
            <w:tcW w:w="3260" w:type="dxa"/>
          </w:tcPr>
          <w:p w:rsidR="00BB5116" w:rsidRDefault="00BB5116" w:rsidP="00BB5116">
            <w:pPr>
              <w:jc w:val="both"/>
            </w:pPr>
            <w:r>
              <w:t>£1k – per item</w:t>
            </w:r>
          </w:p>
        </w:tc>
      </w:tr>
      <w:tr w:rsidR="00BB5116" w:rsidTr="00BB5116">
        <w:tc>
          <w:tcPr>
            <w:tcW w:w="2304" w:type="dxa"/>
          </w:tcPr>
          <w:p w:rsidR="00BB5116" w:rsidRDefault="00BB5116" w:rsidP="00BB5116">
            <w:pPr>
              <w:jc w:val="both"/>
            </w:pPr>
            <w:r>
              <w:t>Continuing Education</w:t>
            </w:r>
          </w:p>
        </w:tc>
        <w:tc>
          <w:tcPr>
            <w:tcW w:w="3503" w:type="dxa"/>
          </w:tcPr>
          <w:p w:rsidR="00BB5116" w:rsidRDefault="00BB5116" w:rsidP="00BB5116">
            <w:pPr>
              <w:jc w:val="both"/>
            </w:pPr>
          </w:p>
        </w:tc>
        <w:tc>
          <w:tcPr>
            <w:tcW w:w="3260" w:type="dxa"/>
          </w:tcPr>
          <w:p w:rsidR="00BB5116" w:rsidRDefault="00BB5116" w:rsidP="00BB5116">
            <w:pPr>
              <w:jc w:val="both"/>
            </w:pPr>
          </w:p>
        </w:tc>
      </w:tr>
    </w:tbl>
    <w:p w:rsidR="00F224FD" w:rsidRDefault="00F224FD" w:rsidP="00BB5116">
      <w:pPr>
        <w:jc w:val="both"/>
      </w:pPr>
    </w:p>
    <w:p w:rsidR="004F2ABC" w:rsidRPr="006D3FDE" w:rsidRDefault="006D3FDE" w:rsidP="00BB5116">
      <w:pPr>
        <w:jc w:val="both"/>
      </w:pPr>
      <w:r w:rsidRPr="006D3FDE">
        <w:t>At year end accruals etc. are needed for any amount greater than £5k</w:t>
      </w:r>
      <w:r>
        <w:t xml:space="preserve"> for audit requirements</w:t>
      </w:r>
      <w:r w:rsidRPr="006D3FDE">
        <w:t>. Lower amounts can be posted if a department requires.</w:t>
      </w:r>
    </w:p>
    <w:sectPr w:rsidR="004F2ABC" w:rsidRPr="006D3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06"/>
    <w:rsid w:val="0001692F"/>
    <w:rsid w:val="00033792"/>
    <w:rsid w:val="00034382"/>
    <w:rsid w:val="00080C36"/>
    <w:rsid w:val="00090FD5"/>
    <w:rsid w:val="000B3E7E"/>
    <w:rsid w:val="000C6DA5"/>
    <w:rsid w:val="000F3665"/>
    <w:rsid w:val="00100F9B"/>
    <w:rsid w:val="00153134"/>
    <w:rsid w:val="00257A50"/>
    <w:rsid w:val="00267186"/>
    <w:rsid w:val="00270B60"/>
    <w:rsid w:val="00306F59"/>
    <w:rsid w:val="00327F0D"/>
    <w:rsid w:val="00344F35"/>
    <w:rsid w:val="003640A6"/>
    <w:rsid w:val="003B3CB3"/>
    <w:rsid w:val="003C0E98"/>
    <w:rsid w:val="00436783"/>
    <w:rsid w:val="00437D3E"/>
    <w:rsid w:val="00485858"/>
    <w:rsid w:val="00492957"/>
    <w:rsid w:val="004A2A9E"/>
    <w:rsid w:val="004D2583"/>
    <w:rsid w:val="004D55B5"/>
    <w:rsid w:val="004F21D7"/>
    <w:rsid w:val="004F2ABC"/>
    <w:rsid w:val="00564913"/>
    <w:rsid w:val="00607734"/>
    <w:rsid w:val="00635205"/>
    <w:rsid w:val="006352AA"/>
    <w:rsid w:val="0065011B"/>
    <w:rsid w:val="00673E5F"/>
    <w:rsid w:val="006D3FDE"/>
    <w:rsid w:val="006E0ABB"/>
    <w:rsid w:val="006F476C"/>
    <w:rsid w:val="00701EC1"/>
    <w:rsid w:val="00711BA6"/>
    <w:rsid w:val="007131F8"/>
    <w:rsid w:val="007F3675"/>
    <w:rsid w:val="00903EBC"/>
    <w:rsid w:val="0094587C"/>
    <w:rsid w:val="00976674"/>
    <w:rsid w:val="00990920"/>
    <w:rsid w:val="009E0298"/>
    <w:rsid w:val="00AE2369"/>
    <w:rsid w:val="00B10674"/>
    <w:rsid w:val="00B11806"/>
    <w:rsid w:val="00B37CA1"/>
    <w:rsid w:val="00B71378"/>
    <w:rsid w:val="00BA6009"/>
    <w:rsid w:val="00BB5116"/>
    <w:rsid w:val="00BC4DC7"/>
    <w:rsid w:val="00C173CA"/>
    <w:rsid w:val="00C403E5"/>
    <w:rsid w:val="00C851BD"/>
    <w:rsid w:val="00D16F60"/>
    <w:rsid w:val="00D46B63"/>
    <w:rsid w:val="00D73046"/>
    <w:rsid w:val="00D92407"/>
    <w:rsid w:val="00DA4904"/>
    <w:rsid w:val="00EA1A28"/>
    <w:rsid w:val="00EE3316"/>
    <w:rsid w:val="00F174CE"/>
    <w:rsid w:val="00F224FD"/>
    <w:rsid w:val="00F57A30"/>
    <w:rsid w:val="00F836D3"/>
    <w:rsid w:val="00FB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3E8D"/>
  <w15:chartTrackingRefBased/>
  <w15:docId w15:val="{4C58C766-3D7B-4BD6-8CD3-D10B8B36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6529">
      <w:bodyDiv w:val="1"/>
      <w:marLeft w:val="0"/>
      <w:marRight w:val="0"/>
      <w:marTop w:val="0"/>
      <w:marBottom w:val="0"/>
      <w:divBdr>
        <w:top w:val="none" w:sz="0" w:space="0" w:color="auto"/>
        <w:left w:val="none" w:sz="0" w:space="0" w:color="auto"/>
        <w:bottom w:val="none" w:sz="0" w:space="0" w:color="auto"/>
        <w:right w:val="none" w:sz="0" w:space="0" w:color="auto"/>
      </w:divBdr>
    </w:div>
    <w:div w:id="18139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Weller</dc:creator>
  <cp:keywords/>
  <dc:description/>
  <cp:lastModifiedBy>Genieve Boon</cp:lastModifiedBy>
  <cp:revision>3</cp:revision>
  <cp:lastPrinted>2019-01-09T16:07:00Z</cp:lastPrinted>
  <dcterms:created xsi:type="dcterms:W3CDTF">2021-06-21T14:43:00Z</dcterms:created>
  <dcterms:modified xsi:type="dcterms:W3CDTF">2021-06-21T14:56:00Z</dcterms:modified>
</cp:coreProperties>
</file>