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182E32" w:rsidRDefault="00923BAB" w:rsidP="000501F5">
      <w:pPr>
        <w:spacing w:after="0"/>
        <w:ind w:left="-142" w:right="-46"/>
        <w:rPr>
          <w:rFonts w:cs="Arial"/>
          <w:b/>
        </w:rPr>
      </w:pPr>
      <w:r w:rsidRPr="00182E32">
        <w:rPr>
          <w:rFonts w:cs="Arial"/>
          <w:b/>
        </w:rPr>
        <w:t>Product</w:t>
      </w:r>
      <w:r w:rsidR="00092B2C" w:rsidRPr="00182E32">
        <w:rPr>
          <w:rFonts w:cs="Arial"/>
          <w:b/>
        </w:rPr>
        <w:t xml:space="preserve"> / Service</w:t>
      </w:r>
      <w:r w:rsidRPr="00182E32">
        <w:rPr>
          <w:rFonts w:cs="Arial"/>
          <w:b/>
        </w:rPr>
        <w:t>:</w:t>
      </w:r>
      <w:r w:rsidR="00FC4C5D" w:rsidRPr="00182E32">
        <w:rPr>
          <w:rFonts w:cs="Arial"/>
          <w:b/>
        </w:rPr>
        <w:t xml:space="preserve"> </w:t>
      </w:r>
      <w:r w:rsidR="000133C0" w:rsidRPr="00182E32">
        <w:rPr>
          <w:rFonts w:cs="Arial"/>
        </w:rPr>
        <w:t>Security, Surveillance, Fire &amp; Alarm Systems &amp; Equipment</w:t>
      </w:r>
      <w:r w:rsidR="00BC68B5" w:rsidRPr="00182E32">
        <w:rPr>
          <w:rFonts w:cs="Arial"/>
        </w:rPr>
        <w:t xml:space="preserve"> </w:t>
      </w:r>
    </w:p>
    <w:p w:rsidR="001171E7" w:rsidRPr="00182E32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182E32" w:rsidRPr="00182E32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182E32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182E3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182E3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182E32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Positive Opportunities</w:t>
            </w:r>
          </w:p>
        </w:tc>
      </w:tr>
      <w:tr w:rsidR="00182E32" w:rsidRPr="00182E32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182E3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182E32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 xml:space="preserve">Production – high carbon </w:t>
            </w:r>
            <w:r w:rsidR="00C640D9">
              <w:rPr>
                <w:rFonts w:cs="Arial"/>
              </w:rPr>
              <w:t>production process</w:t>
            </w:r>
            <w:r w:rsidRPr="00182E32">
              <w:rPr>
                <w:rFonts w:cs="Arial"/>
              </w:rPr>
              <w:t>, including non-recyclable &amp; non-renewable materials &amp; water</w:t>
            </w:r>
            <w:r w:rsidR="002770F4" w:rsidRPr="00182E32">
              <w:rPr>
                <w:rFonts w:cs="Arial"/>
              </w:rPr>
              <w:t xml:space="preserve"> (impact on biodiversity</w:t>
            </w:r>
            <w:r w:rsidR="00650948" w:rsidRPr="00182E32">
              <w:rPr>
                <w:rFonts w:cs="Arial"/>
              </w:rPr>
              <w:t xml:space="preserve"> / mining impacts</w:t>
            </w:r>
            <w:r w:rsidR="002770F4" w:rsidRPr="00182E32">
              <w:rPr>
                <w:rFonts w:cs="Arial"/>
              </w:rPr>
              <w:t>)</w:t>
            </w:r>
          </w:p>
          <w:p w:rsidR="002923FC" w:rsidRPr="00182E32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2923FC" w:rsidRPr="00182E32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Energy use of equipment (carbon impact)</w:t>
            </w:r>
          </w:p>
          <w:p w:rsidR="00F9193E" w:rsidRPr="00182E32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182E32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 xml:space="preserve">Vehicle fuel &amp; emissions (carbon impact) – </w:t>
            </w:r>
            <w:r w:rsidR="000133C0" w:rsidRPr="00182E32">
              <w:rPr>
                <w:rFonts w:cs="Arial"/>
              </w:rPr>
              <w:t>high or</w:t>
            </w:r>
            <w:r w:rsidRPr="00182E32">
              <w:rPr>
                <w:rFonts w:cs="Arial"/>
              </w:rPr>
              <w:t>der frequency of</w:t>
            </w:r>
            <w:r w:rsidR="009A1CA3" w:rsidRPr="00182E32">
              <w:rPr>
                <w:rFonts w:cs="Arial"/>
              </w:rPr>
              <w:t xml:space="preserve"> low value equipment &amp;</w:t>
            </w:r>
            <w:r w:rsidRPr="00182E32">
              <w:rPr>
                <w:rFonts w:cs="Arial"/>
              </w:rPr>
              <w:t xml:space="preserve"> </w:t>
            </w:r>
            <w:r w:rsidR="00630F63" w:rsidRPr="00182E32">
              <w:rPr>
                <w:rFonts w:cs="Arial"/>
              </w:rPr>
              <w:t xml:space="preserve">multiple </w:t>
            </w:r>
            <w:r w:rsidRPr="00182E32">
              <w:rPr>
                <w:rFonts w:cs="Arial"/>
              </w:rPr>
              <w:t>maintenance visits</w:t>
            </w:r>
          </w:p>
          <w:p w:rsidR="00A22C80" w:rsidRPr="00182E32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22C80" w:rsidRPr="00182E32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Equipment may be delivered in excessive packaging</w:t>
            </w:r>
          </w:p>
          <w:p w:rsidR="00F9193E" w:rsidRPr="00182E32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182E32" w:rsidRDefault="00C153C4" w:rsidP="00182E32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82E32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82E32" w:rsidRPr="00182E32" w:rsidRDefault="00182E32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Protection from fire etc.</w:t>
            </w:r>
          </w:p>
          <w:p w:rsidR="00182E32" w:rsidRPr="00182E32" w:rsidRDefault="00182E32" w:rsidP="00182E32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182E32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Energy efficient equipment (e.g. EnergyStar)</w:t>
            </w:r>
          </w:p>
          <w:p w:rsidR="006926FD" w:rsidRPr="00182E3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182E32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182E32">
              <w:rPr>
                <w:rFonts w:cs="Arial"/>
              </w:rPr>
              <w:t xml:space="preserve">Consolidated orders &amp; reduced delivery frequency of </w:t>
            </w:r>
            <w:r w:rsidR="00A93E3C" w:rsidRPr="00182E32">
              <w:rPr>
                <w:rFonts w:cs="Arial"/>
              </w:rPr>
              <w:t>low value equipment</w:t>
            </w:r>
          </w:p>
          <w:p w:rsidR="006926FD" w:rsidRPr="00182E3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182E32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Low CO</w:t>
            </w:r>
            <w:r w:rsidRPr="00182E32">
              <w:rPr>
                <w:rFonts w:cs="Arial"/>
                <w:vertAlign w:val="subscript"/>
              </w:rPr>
              <w:t>2</w:t>
            </w:r>
            <w:r w:rsidRPr="00182E32">
              <w:rPr>
                <w:rFonts w:cs="Arial"/>
              </w:rPr>
              <w:t xml:space="preserve"> vehicles for delivery &amp; maintenance visits</w:t>
            </w:r>
          </w:p>
          <w:p w:rsidR="006926FD" w:rsidRPr="00182E32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2C01D3" w:rsidRPr="00182E32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Alternatives to maintenance staff physically attending site e.g. remote access support</w:t>
            </w:r>
          </w:p>
          <w:p w:rsidR="0034005F" w:rsidRPr="00182E32" w:rsidRDefault="0034005F" w:rsidP="0034005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34005F" w:rsidRPr="00182E32" w:rsidRDefault="0034005F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Consolidate maintenance visits across sites / consider on-site engineers</w:t>
            </w:r>
          </w:p>
          <w:p w:rsidR="0089270E" w:rsidRPr="00182E32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Default="009222A5" w:rsidP="00182E3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Reduce levels of packaging / use recycled packaging</w:t>
            </w:r>
          </w:p>
          <w:p w:rsidR="007515FB" w:rsidRPr="007515FB" w:rsidRDefault="007515FB" w:rsidP="007515FB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182E32" w:rsidRPr="00182E32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182E3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182E32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182E32">
              <w:rPr>
                <w:rFonts w:cs="Arial"/>
              </w:rPr>
              <w:t xml:space="preserve">pay &amp; </w:t>
            </w:r>
            <w:r w:rsidRPr="00182E32">
              <w:rPr>
                <w:rFonts w:cs="Arial"/>
              </w:rPr>
              <w:t>working conditions / health and safety breaches)</w:t>
            </w:r>
          </w:p>
          <w:p w:rsidR="007B361C" w:rsidRPr="00182E32" w:rsidRDefault="007B361C" w:rsidP="007B36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45B05" w:rsidRPr="00182E32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Working conditions of maintenance staff (long</w:t>
            </w:r>
            <w:r w:rsidR="00240F2D">
              <w:rPr>
                <w:rFonts w:cs="Arial"/>
              </w:rPr>
              <w:t xml:space="preserve"> &amp; un-social</w:t>
            </w:r>
            <w:r w:rsidRPr="00182E32">
              <w:rPr>
                <w:rFonts w:cs="Arial"/>
              </w:rPr>
              <w:t xml:space="preserve"> hours / low pay)</w:t>
            </w:r>
          </w:p>
          <w:p w:rsidR="00045B05" w:rsidRPr="00182E32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182E32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Frequency &amp; timing of maintenance  visits – congestion &amp; noise impacting residents</w:t>
            </w:r>
          </w:p>
          <w:p w:rsidR="00C153C4" w:rsidRPr="00182E32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82E32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182E32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Maintenance staff - local employment / living wage</w:t>
            </w:r>
          </w:p>
          <w:p w:rsidR="00C755D8" w:rsidRPr="00182E32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045B05" w:rsidRPr="00182E32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 xml:space="preserve">Apprenticeship opportunities </w:t>
            </w:r>
          </w:p>
          <w:p w:rsidR="00C755D8" w:rsidRPr="00182E32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182E32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Consolidated maintenance visits (including shared contracts)</w:t>
            </w:r>
          </w:p>
          <w:p w:rsidR="00C755D8" w:rsidRPr="00182E32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182E32" w:rsidRDefault="00C153C4" w:rsidP="00182E32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182E32" w:rsidRPr="00182E32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182E32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82E32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501A29" w:rsidRPr="00182E32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Multiple purchases of individual items of equipment (potential duplication)</w:t>
            </w:r>
          </w:p>
          <w:p w:rsidR="00AA503C" w:rsidRPr="00182E32" w:rsidRDefault="00AA503C" w:rsidP="00AA503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182E32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Cost of energy used by equipment</w:t>
            </w:r>
          </w:p>
          <w:p w:rsidR="00A35E81" w:rsidRPr="00182E32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5E81" w:rsidRPr="00182E32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Multiple maintenance visits across sites – inefficient &amp; costly</w:t>
            </w:r>
          </w:p>
          <w:p w:rsidR="00E55B01" w:rsidRPr="00182E32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182E32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82E32">
              <w:rPr>
                <w:rFonts w:cs="Arial"/>
              </w:rPr>
              <w:t>Waste disposal costs</w:t>
            </w:r>
          </w:p>
          <w:p w:rsidR="00C153C4" w:rsidRPr="00182E32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182E32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182E32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182E32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182E32" w:rsidRDefault="00501A29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182E32">
              <w:rPr>
                <w:rFonts w:cs="Arial"/>
              </w:rPr>
              <w:t xml:space="preserve">Share equipment (overall cost reduction) &amp; rationalise suppliers </w:t>
            </w:r>
          </w:p>
          <w:p w:rsidR="00501A29" w:rsidRPr="00182E32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Pr="00182E32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Energy efficient equipment (e.g. EnergyStar) – reduce energy bills</w:t>
            </w:r>
          </w:p>
          <w:p w:rsidR="00A35E81" w:rsidRPr="00182E32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5E81" w:rsidRPr="00182E32" w:rsidRDefault="00A35E81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Consolidate &amp; align maintenance contracts across sites</w:t>
            </w:r>
          </w:p>
          <w:p w:rsidR="00E55B01" w:rsidRPr="00182E32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182E32" w:rsidRPr="00182E32" w:rsidRDefault="00E55B01" w:rsidP="00182E3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 xml:space="preserve">Sell old </w:t>
            </w:r>
            <w:r w:rsidR="00182E32" w:rsidRPr="00182E32">
              <w:rPr>
                <w:rFonts w:cs="Arial"/>
              </w:rPr>
              <w:t>equipment</w:t>
            </w:r>
            <w:r w:rsidRPr="00182E32">
              <w:rPr>
                <w:rFonts w:cs="Arial"/>
              </w:rPr>
              <w:t xml:space="preserve"> for parts/metal scrap</w:t>
            </w:r>
          </w:p>
          <w:p w:rsidR="00182E32" w:rsidRPr="00182E32" w:rsidRDefault="00182E32" w:rsidP="00182E3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182E32" w:rsidRDefault="00182E32" w:rsidP="00182E3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82E32">
              <w:rPr>
                <w:rFonts w:cs="Arial"/>
              </w:rPr>
              <w:t>Reduced risk to people/assets – reduced insurance costs</w:t>
            </w:r>
          </w:p>
          <w:p w:rsidR="007515FB" w:rsidRPr="007515FB" w:rsidRDefault="007515FB" w:rsidP="007515FB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</w:tbl>
    <w:p w:rsidR="00B8589F" w:rsidRPr="002A733E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2A733E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9722D" w:rsidRDefault="00B9722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9722D" w:rsidRDefault="00B9722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9722D" w:rsidRDefault="00B9722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9722D" w:rsidRDefault="00E7400E" w:rsidP="00E7400E">
      <w:pPr>
        <w:tabs>
          <w:tab w:val="left" w:pos="6787"/>
        </w:tabs>
        <w:spacing w:after="0"/>
        <w:ind w:left="-142" w:right="-18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:rsidR="00B9722D" w:rsidRDefault="00B9722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</w:p>
    <w:p w:rsidR="00312B5E" w:rsidRPr="002A733E" w:rsidRDefault="00B7167C" w:rsidP="00B8589F">
      <w:pPr>
        <w:spacing w:after="0"/>
        <w:ind w:left="-142" w:right="-188"/>
        <w:rPr>
          <w:sz w:val="18"/>
          <w:szCs w:val="18"/>
        </w:rPr>
      </w:pPr>
      <w:r w:rsidRPr="002A733E">
        <w:rPr>
          <w:rFonts w:cs="Arial"/>
          <w:b/>
          <w:sz w:val="18"/>
          <w:szCs w:val="18"/>
        </w:rPr>
        <w:t xml:space="preserve">RELATED </w:t>
      </w:r>
      <w:r w:rsidR="007B6088" w:rsidRPr="002A733E">
        <w:rPr>
          <w:rFonts w:cs="Arial"/>
          <w:b/>
          <w:sz w:val="18"/>
          <w:szCs w:val="18"/>
        </w:rPr>
        <w:t xml:space="preserve">PROC HE: </w:t>
      </w:r>
      <w:r w:rsidR="000133C0">
        <w:rPr>
          <w:rFonts w:cs="Arial"/>
          <w:sz w:val="18"/>
          <w:szCs w:val="18"/>
        </w:rPr>
        <w:t>U</w:t>
      </w:r>
      <w:r w:rsidR="00BA39DD" w:rsidRPr="002A733E">
        <w:rPr>
          <w:rFonts w:cs="Arial"/>
          <w:sz w:val="18"/>
          <w:szCs w:val="18"/>
        </w:rPr>
        <w:t xml:space="preserve">B / </w:t>
      </w:r>
      <w:r w:rsidR="000133C0">
        <w:rPr>
          <w:rFonts w:cs="Arial"/>
          <w:sz w:val="18"/>
          <w:szCs w:val="18"/>
        </w:rPr>
        <w:t>UE</w:t>
      </w:r>
      <w:r w:rsidR="00BA39DD" w:rsidRPr="002A733E">
        <w:rPr>
          <w:rFonts w:cs="Arial"/>
          <w:sz w:val="18"/>
          <w:szCs w:val="18"/>
        </w:rPr>
        <w:t xml:space="preserve"> / </w:t>
      </w:r>
      <w:r w:rsidR="000133C0">
        <w:rPr>
          <w:rFonts w:cs="Arial"/>
          <w:sz w:val="18"/>
          <w:szCs w:val="18"/>
        </w:rPr>
        <w:t>UJ</w:t>
      </w:r>
      <w:r w:rsidR="00BA39DD" w:rsidRPr="002A733E">
        <w:rPr>
          <w:rFonts w:cs="Arial"/>
          <w:sz w:val="18"/>
          <w:szCs w:val="18"/>
        </w:rPr>
        <w:t xml:space="preserve"> / </w:t>
      </w:r>
      <w:r w:rsidR="000133C0">
        <w:rPr>
          <w:rFonts w:cs="Arial"/>
          <w:sz w:val="18"/>
          <w:szCs w:val="18"/>
        </w:rPr>
        <w:t>UK</w:t>
      </w:r>
      <w:r w:rsidR="00BA39DD" w:rsidRPr="002A733E">
        <w:rPr>
          <w:rFonts w:cs="Arial"/>
          <w:sz w:val="18"/>
          <w:szCs w:val="18"/>
        </w:rPr>
        <w:t xml:space="preserve"> / </w:t>
      </w:r>
      <w:r w:rsidR="000133C0">
        <w:rPr>
          <w:rFonts w:cs="Arial"/>
          <w:sz w:val="18"/>
          <w:szCs w:val="18"/>
        </w:rPr>
        <w:t>UM</w:t>
      </w:r>
    </w:p>
    <w:sectPr w:rsidR="00312B5E" w:rsidRPr="002A733E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7515FB">
      <w:t>1.0</w:t>
    </w:r>
    <w:r>
      <w:tab/>
    </w:r>
    <w:r w:rsidR="000133C0">
      <w:t>Security Systems</w:t>
    </w:r>
    <w:r>
      <w:tab/>
    </w:r>
    <w:r w:rsidR="00240F2D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133C0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779CE"/>
    <w:rsid w:val="00182E32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0F2D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515FB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13D6D"/>
    <w:rsid w:val="00817800"/>
    <w:rsid w:val="00826EC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9722D"/>
    <w:rsid w:val="00BA39DD"/>
    <w:rsid w:val="00BC3DC2"/>
    <w:rsid w:val="00BC68B5"/>
    <w:rsid w:val="00BD141F"/>
    <w:rsid w:val="00BE071E"/>
    <w:rsid w:val="00BE0E36"/>
    <w:rsid w:val="00C07BF9"/>
    <w:rsid w:val="00C153C4"/>
    <w:rsid w:val="00C24AA3"/>
    <w:rsid w:val="00C25E48"/>
    <w:rsid w:val="00C276B1"/>
    <w:rsid w:val="00C57A3E"/>
    <w:rsid w:val="00C640D9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7400E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334F-2287-4ECF-8366-8BD2E067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298</cp:revision>
  <cp:lastPrinted>2015-09-17T14:40:00Z</cp:lastPrinted>
  <dcterms:created xsi:type="dcterms:W3CDTF">2015-09-10T08:52:00Z</dcterms:created>
  <dcterms:modified xsi:type="dcterms:W3CDTF">2016-05-03T13:49:00Z</dcterms:modified>
</cp:coreProperties>
</file>